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834640" cy="1381760"/>
            <wp:docPr id="1" name="Picture 1"/>
            <wp:cNvGraphicFramePr>
              <a:graphicFrameLocks noChangeAspect="1"/>
            </wp:cNvGraphicFramePr>
            <a:graphic>
              <a:graphicData uri="http://schemas.openxmlformats.org/drawingml/2006/picture">
                <pic:pic>
                  <pic:nvPicPr>
                    <pic:cNvPr id="0" name="PNGSDP_Logo_2024_Full_Colour.png"/>
                    <pic:cNvPicPr/>
                  </pic:nvPicPr>
                  <pic:blipFill>
                    <a:blip r:embed="rId11"/>
                    <a:stretch>
                      <a:fillRect/>
                    </a:stretch>
                  </pic:blipFill>
                  <pic:spPr>
                    <a:xfrm>
                      <a:off x="0" y="0"/>
                      <a:ext cx="2834640" cy="1381760"/>
                    </a:xfrm>
                    <a:prstGeom prst="rect"/>
                  </pic:spPr>
                </pic:pic>
              </a:graphicData>
            </a:graphic>
          </wp:inline>
        </w:drawing>
      </w:r>
    </w:p>
    <w:p>
      <w:pPr>
        <w:spacing w:after="160"/>
      </w:pPr>
    </w:p>
    <w:p>
      <w:pPr>
        <w:pStyle w:val="Eyebrow"/>
      </w:pPr>
      <w:r>
        <w:t>ENABLING SERVICES INTELLIGENCE · WESTERN PROVINCE</w:t>
      </w:r>
    </w:p>
    <w:tbl>
      <w:tblPr>
        <w:tblW w:type="auto" w:w="0"/>
        <w:jc w:val="center"/>
        <w:tblLook w:firstColumn="1" w:firstRow="1" w:lastColumn="0" w:lastRow="0" w:noHBand="0" w:noVBand="1" w:val="04A0"/>
      </w:tblPr>
      <w:tblGrid>
        <w:gridCol w:w="9994"/>
      </w:tblGrid>
      <w:tr>
        <w:tc>
          <w:tcPr>
            <w:tcW w:type="dxa" w:w="9994"/>
            <w:shd w:fill="123F34"/>
            <w:tcBorders>
              <w:top w:val="single" w:sz="6" w:color="123F34"/>
              <w:left w:val="single" w:sz="6" w:color="123F34"/>
              <w:bottom w:val="single" w:sz="6" w:color="123F34"/>
              <w:right w:val="single" w:sz="6" w:color="123F34"/>
              <w:insideH w:val="single" w:sz="6" w:color="123F34"/>
              <w:insideV w:val="single" w:sz="6" w:color="123F34"/>
            </w:tcBorders>
            <w:tcMar>
              <w:top w:w="420" w:type="dxa"/>
              <w:start w:w="220" w:type="dxa"/>
              <w:bottom w:w="420" w:type="dxa"/>
              <w:end w:w="220" w:type="dxa"/>
            </w:tcMar>
          </w:tcPr>
          <w:p>
            <w:pPr>
              <w:jc w:val="center"/>
            </w:pPr>
            <w:r/>
            <w:r>
              <w:rPr>
                <w:b/>
                <w:color w:val="FFFFFF"/>
                <w:sz w:val="64"/>
              </w:rPr>
              <w:t>WPGIS TRAINING</w:t>
              <w:br/>
              <w:t>WORKPACK</w:t>
            </w:r>
          </w:p>
          <w:p>
            <w:pPr>
              <w:jc w:val="center"/>
            </w:pPr>
            <w:r>
              <w:rPr>
                <w:color w:val="D7E8DF"/>
                <w:sz w:val="24"/>
              </w:rPr>
              <w:t>Facilitator guide · participant manual · operating reference</w:t>
            </w:r>
          </w:p>
        </w:tc>
      </w:tr>
    </w:tbl>
    <w:tbl>
      <w:tblPr>
        <w:tblW w:type="auto" w:w="0"/>
        <w:jc w:val="center"/>
        <w:tblLayout w:type="fixed"/>
        <w:tblLook w:firstColumn="1" w:firstRow="1" w:lastColumn="0" w:lastRow="0" w:noHBand="0" w:noVBand="1" w:val="04A0"/>
      </w:tblPr>
      <w:tblGrid>
        <w:gridCol w:w="2430"/>
        <w:gridCol w:w="2430"/>
        <w:gridCol w:w="2430"/>
        <w:gridCol w:w="2430"/>
      </w:tblGrid>
      <w:tr>
        <w:tc>
          <w:tcPr>
            <w:tcW w:type="dxa" w:w="2498"/>
            <w:shd w:fill="FFFFFF"/>
            <w:tcBorders>
              <w:top w:val="single" w:sz="6" w:color="D8E2DB"/>
              <w:left w:val="single" w:sz="6" w:color="D8E2DB"/>
              <w:bottom w:val="single" w:sz="6" w:color="D8E2DB"/>
              <w:right w:val="single" w:sz="6" w:color="D8E2DB"/>
              <w:insideH w:val="single" w:sz="6" w:color="D8E2DB"/>
              <w:insideV w:val="single" w:sz="6" w:color="D8E2DB"/>
            </w:tcBorders>
            <w:tcMar>
              <w:top w:w="120" w:type="dxa"/>
              <w:start w:w="100" w:type="dxa"/>
              <w:bottom w:w="120" w:type="dxa"/>
              <w:end w:w="100" w:type="dxa"/>
            </w:tcMar>
          </w:tcPr>
          <w:p>
            <w:pPr>
              <w:jc w:val="center"/>
            </w:pPr>
            <w:r/>
            <w:r>
              <w:rPr>
                <w:b/>
                <w:color w:val="123F34"/>
                <w:sz w:val="40"/>
              </w:rPr>
              <w:t>7</w:t>
            </w:r>
          </w:p>
          <w:p>
            <w:pPr>
              <w:jc w:val="center"/>
            </w:pPr>
            <w:r>
              <w:rPr>
                <w:color w:val="65736C"/>
                <w:sz w:val="15"/>
              </w:rPr>
              <w:t>application areas</w:t>
            </w:r>
          </w:p>
        </w:tc>
        <w:tc>
          <w:tcPr>
            <w:tcW w:type="dxa" w:w="2498"/>
            <w:shd w:fill="FFFFFF"/>
            <w:tcBorders>
              <w:top w:val="single" w:sz="6" w:color="D8E2DB"/>
              <w:left w:val="single" w:sz="6" w:color="D8E2DB"/>
              <w:bottom w:val="single" w:sz="6" w:color="D8E2DB"/>
              <w:right w:val="single" w:sz="6" w:color="D8E2DB"/>
              <w:insideH w:val="single" w:sz="6" w:color="D8E2DB"/>
              <w:insideV w:val="single" w:sz="6" w:color="D8E2DB"/>
            </w:tcBorders>
            <w:tcMar>
              <w:top w:w="120" w:type="dxa"/>
              <w:start w:w="100" w:type="dxa"/>
              <w:bottom w:w="120" w:type="dxa"/>
              <w:end w:w="100" w:type="dxa"/>
            </w:tcMar>
          </w:tcPr>
          <w:p>
            <w:pPr>
              <w:jc w:val="center"/>
            </w:pPr>
            <w:r/>
            <w:r>
              <w:rPr>
                <w:b/>
                <w:color w:val="123F34"/>
                <w:sz w:val="40"/>
              </w:rPr>
              <w:t>4</w:t>
            </w:r>
          </w:p>
          <w:p>
            <w:pPr>
              <w:jc w:val="center"/>
            </w:pPr>
            <w:r>
              <w:rPr>
                <w:color w:val="65736C"/>
                <w:sz w:val="15"/>
              </w:rPr>
              <w:t>role pathways</w:t>
            </w:r>
          </w:p>
        </w:tc>
        <w:tc>
          <w:tcPr>
            <w:tcW w:type="dxa" w:w="2498"/>
            <w:shd w:fill="FFFFFF"/>
            <w:tcBorders>
              <w:top w:val="single" w:sz="6" w:color="D8E2DB"/>
              <w:left w:val="single" w:sz="6" w:color="D8E2DB"/>
              <w:bottom w:val="single" w:sz="6" w:color="D8E2DB"/>
              <w:right w:val="single" w:sz="6" w:color="D8E2DB"/>
              <w:insideH w:val="single" w:sz="6" w:color="D8E2DB"/>
              <w:insideV w:val="single" w:sz="6" w:color="D8E2DB"/>
            </w:tcBorders>
            <w:tcMar>
              <w:top w:w="120" w:type="dxa"/>
              <w:start w:w="100" w:type="dxa"/>
              <w:bottom w:w="120" w:type="dxa"/>
              <w:end w:w="100" w:type="dxa"/>
            </w:tcMar>
          </w:tcPr>
          <w:p>
            <w:pPr>
              <w:jc w:val="center"/>
            </w:pPr>
            <w:r/>
            <w:r>
              <w:rPr>
                <w:b/>
                <w:color w:val="123F34"/>
                <w:sz w:val="40"/>
              </w:rPr>
              <w:t>5</w:t>
            </w:r>
          </w:p>
          <w:p>
            <w:pPr>
              <w:jc w:val="center"/>
            </w:pPr>
            <w:r>
              <w:rPr>
                <w:color w:val="65736C"/>
                <w:sz w:val="15"/>
              </w:rPr>
              <w:t>practice scenarios</w:t>
            </w:r>
          </w:p>
        </w:tc>
        <w:tc>
          <w:tcPr>
            <w:tcW w:type="dxa" w:w="2498"/>
            <w:shd w:fill="FFFFFF"/>
            <w:tcBorders>
              <w:top w:val="single" w:sz="6" w:color="D8E2DB"/>
              <w:left w:val="single" w:sz="6" w:color="D8E2DB"/>
              <w:bottom w:val="single" w:sz="6" w:color="D8E2DB"/>
              <w:right w:val="single" w:sz="6" w:color="D8E2DB"/>
              <w:insideH w:val="single" w:sz="6" w:color="D8E2DB"/>
              <w:insideV w:val="single" w:sz="6" w:color="D8E2DB"/>
            </w:tcBorders>
            <w:tcMar>
              <w:top w:w="120" w:type="dxa"/>
              <w:start w:w="100" w:type="dxa"/>
              <w:bottom w:w="120" w:type="dxa"/>
              <w:end w:w="100" w:type="dxa"/>
            </w:tcMar>
          </w:tcPr>
          <w:p>
            <w:pPr>
              <w:jc w:val="center"/>
            </w:pPr>
            <w:r/>
            <w:r>
              <w:rPr>
                <w:b/>
                <w:color w:val="123F34"/>
                <w:sz w:val="40"/>
              </w:rPr>
              <w:t>3.5 h</w:t>
            </w:r>
          </w:p>
          <w:p>
            <w:pPr>
              <w:jc w:val="center"/>
            </w:pPr>
            <w:r>
              <w:rPr>
                <w:color w:val="65736C"/>
                <w:sz w:val="15"/>
              </w:rPr>
              <w:t>facilitated session</w:t>
            </w:r>
          </w:p>
        </w:tc>
      </w:tr>
    </w:tbl>
    <w:p>
      <w:pPr>
        <w:spacing w:after="0"/>
      </w:pPr>
    </w:p>
    <w:p>
      <w:pPr>
        <w:pStyle w:val="Small"/>
        <w:jc w:val="center"/>
      </w:pPr>
      <w:r>
        <w:t>Version 1.0 · 23 August 2026</w:t>
      </w: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Purpose  </w:t>
            </w:r>
            <w:r>
              <w:rPr>
                <w:color w:val="18241F"/>
                <w:sz w:val="18"/>
              </w:rPr>
              <w:t>Build confident, consistent and evidence-aware use of wpgis.org across leadership, delivery, operations, finance and administration.</w:t>
            </w:r>
          </w:p>
        </w:tc>
      </w:tr>
    </w:tbl>
    <w:p>
      <w:pPr>
        <w:spacing w:after="0"/>
      </w:pPr>
    </w:p>
    <w:p>
      <w:pPr>
        <w:pStyle w:val="Small"/>
        <w:jc w:val="center"/>
      </w:pPr>
      <w:r>
        <w:t>Prepared for PNG Sustainable Development Program Limited</w:t>
      </w:r>
    </w:p>
    <w:p>
      <w:pPr>
        <w:pStyle w:val="Small"/>
        <w:jc w:val="center"/>
      </w:pPr>
      <w:r>
        <w:t>Developer: Christopher Odorry · Enabling Services · christopher.odorry@pngsdp.org</w:t>
      </w:r>
    </w:p>
    <w:p>
      <w:r>
        <w:br w:type="page"/>
      </w:r>
    </w:p>
    <w:p>
      <w:pPr>
        <w:pStyle w:val="Eyebrow"/>
      </w:pPr>
      <w:r>
        <w:t>DOCUMENT CONTROL</w:t>
      </w:r>
    </w:p>
    <w:p>
      <w:pPr>
        <w:pStyle w:val="Heading1"/>
      </w:pPr>
      <w:r>
        <w:t>How to use this workpack</w:t>
      </w:r>
    </w:p>
    <w:p>
      <w:r>
        <w:rPr>
          <w:color w:val="65736C"/>
          <w:sz w:val="22"/>
        </w:rPr>
        <w:t>Use this resource in a facilitated session, as an induction pack, or as a desk reference. The screenshots represent the application as at 23 August 2026; governed data and interface details may evolve.</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Document owner</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Enabling Services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WPGIS training and controlled operating guidance</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Maintain approved version and change log</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Facilitator</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Appointed trainer</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Entire pack and presentation</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Demonstrate using approved examples only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Participant</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Authorised PNGSDP user</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Modules applicable to their role</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Apply evidence and privacy controls</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Technical support</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Designated WPGIS administrator</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Access, defects, governed updates</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Resolve or escalate without bypassing controls</w:t>
            </w:r>
          </w:p>
        </w:tc>
      </w:tr>
    </w:tbl>
    <w:p>
      <w:pPr>
        <w:spacing w:after="0"/>
      </w:pPr>
    </w:p>
    <w:p>
      <w:pPr>
        <w:pStyle w:val="Heading2"/>
      </w:pPr>
      <w:r>
        <w:t>Document control</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Version</w:t>
            </w:r>
          </w:p>
          <w:p>
            <w:pPr>
              <w:pStyle w:val="Small"/>
            </w:pPr>
            <w:r>
              <w:t>1.0 · initial consolidated training release</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Classification</w:t>
            </w:r>
          </w:p>
          <w:p>
            <w:pPr>
              <w:pStyle w:val="Small"/>
            </w:pPr>
            <w:r>
              <w:t>Internal training material · access-controlled application</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Source basis</w:t>
            </w:r>
          </w:p>
          <w:p>
            <w:pPr>
              <w:pStyle w:val="Small"/>
            </w:pPr>
            <w:r>
              <w:t>wpgis.org production application and governed local source package</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Review trigger</w:t>
            </w:r>
          </w:p>
          <w:p>
            <w:pPr>
              <w:pStyle w:val="Small"/>
            </w:pPr>
            <w:r>
              <w:t>Material workflow, access, data model or visual change</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Privacy scope</w:t>
            </w:r>
          </w:p>
          <w:p>
            <w:pPr>
              <w:pStyle w:val="Small"/>
            </w:pPr>
            <w:r>
              <w:t>No personal, payroll, banking, medical or property information is required</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Authority boundary</w:t>
            </w:r>
          </w:p>
          <w:p>
            <w:pPr>
              <w:pStyle w:val="Small"/>
            </w:pPr>
            <w:r>
              <w:t>Training does not replace policies, delegated authority or source-system ownership</w:t>
            </w:r>
          </w:p>
        </w:tc>
      </w:tr>
    </w:tbl>
    <w:p>
      <w:pPr>
        <w:pStyle w:val="Heading2"/>
      </w:pPr>
      <w:r>
        <w:t>Learning outcomes</w:t>
      </w:r>
    </w:p>
    <w:p>
      <w:pPr>
        <w:pStyle w:val="ListBullet"/>
      </w:pPr>
      <w:r>
        <w:t>Access WPGIS securely with the approved PNGSDP email and one-time PIN.</w:t>
      </w:r>
    </w:p>
    <w:p>
      <w:pPr>
        <w:pStyle w:val="ListBullet"/>
      </w:pPr>
      <w:r>
        <w:t>Select the correct module and use filters before interpreting totals or map features.</w:t>
      </w:r>
    </w:p>
    <w:p>
      <w:pPr>
        <w:pStyle w:val="ListBullet"/>
      </w:pPr>
      <w:r>
        <w:t>Ask Sibala Dalagi evidence-grounded questions and identify source and limitation statements.</w:t>
      </w:r>
    </w:p>
    <w:p>
      <w:pPr>
        <w:pStyle w:val="ListBullet"/>
      </w:pPr>
      <w:r>
        <w:t>Maintain asset, project and finance workflows without breaking audit or approval controls.</w:t>
      </w:r>
    </w:p>
    <w:p>
      <w:pPr>
        <w:pStyle w:val="ListBullet"/>
      </w:pPr>
      <w:r>
        <w:t>Produce decision-ready A4 briefs while protecting governed and sensitive information.</w:t>
      </w:r>
    </w:p>
    <w:p>
      <w:r>
        <w:br w:type="page"/>
      </w:r>
    </w:p>
    <w:p>
      <w:pPr>
        <w:pStyle w:val="Eyebrow"/>
      </w:pPr>
      <w:r>
        <w:t>APPLICATION ORIENTATION</w:t>
      </w:r>
    </w:p>
    <w:p>
      <w:pPr>
        <w:pStyle w:val="Heading1"/>
      </w:pPr>
      <w:r>
        <w:t>WPGIS at a glance</w:t>
      </w:r>
    </w:p>
    <w:p>
      <w:r>
        <w:rPr>
          <w:color w:val="65736C"/>
          <w:sz w:val="22"/>
        </w:rPr>
        <w:t>WPGIS is a connected decision-support environment. The browser interface displays governed GIS, population, maintenance, programme and finance working data; it does not replace the separately controlled source files.</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Access Atlas</w:t>
            </w:r>
          </w:p>
          <w:p>
            <w:pPr>
              <w:pStyle w:val="Small"/>
            </w:pPr>
            <w:r>
              <w:t>Explore mapped people, communities, services, assets and planning layers.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Intelligence Hub</w:t>
            </w:r>
          </w:p>
          <w:p>
            <w:pPr>
              <w:pStyle w:val="Small"/>
            </w:pPr>
            <w:r>
              <w:t>Interpret coverage, evidence readiness, gaps, scenarios and portfolio context.</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Maintenance Command</w:t>
            </w:r>
          </w:p>
          <w:p>
            <w:pPr>
              <w:pStyle w:val="Small"/>
            </w:pPr>
            <w:r>
              <w:t>Monitor airstrips, water landing sites, borewells and towers by status and evidence.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Programme Delivery Office</w:t>
            </w:r>
          </w:p>
          <w:p>
            <w:pPr>
              <w:pStyle w:val="Small"/>
            </w:pPr>
            <w:r>
              <w:t>Create, plan, review, approve and monitor programmes, projects and tasking.</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Finance Workflow</w:t>
            </w:r>
          </w:p>
          <w:p>
            <w:pPr>
              <w:pStyle w:val="Small"/>
            </w:pPr>
            <w:r>
              <w:t>Prepare, route, approve and export payment request forms with metadata controls.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06</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Administration</w:t>
            </w:r>
          </w:p>
          <w:p>
            <w:pPr>
              <w:pStyle w:val="Small"/>
            </w:pPr>
            <w:r>
              <w:t>Authorised changes to working records, with user identity and audit history.</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07</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Training Centre</w:t>
            </w:r>
          </w:p>
          <w:p>
            <w:pPr>
              <w:pStyle w:val="Small"/>
            </w:pPr>
            <w:r>
              <w:t>Role pathways, manual, presentation, exercises and quick-start reference.</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F7D23"/>
            <w:vAlign w:val="center"/>
            <w:tcMar>
              <w:top w:w="80" w:type="dxa"/>
              <w:start w:w="120" w:type="dxa"/>
              <w:bottom w:w="80" w:type="dxa"/>
              <w:end w:w="120" w:type="dxa"/>
            </w:tcMar>
            <w:tcBorders>
              <w:top w:val="single" w:sz="0" w:color="FFE8D6"/>
              <w:left w:val="single" w:sz="0" w:color="FFE8D6"/>
              <w:bottom w:val="single" w:sz="0" w:color="FFE8D6"/>
              <w:right w:val="single" w:sz="0" w:color="FFE8D6"/>
              <w:insideH w:val="single" w:sz="0" w:color="FFE8D6"/>
              <w:insideV w:val="single" w:sz="0" w:color="FFE8D6"/>
            </w:tcBorders>
          </w:tcPr>
          <w:p>
            <w:r/>
            <w:r>
              <w:rPr>
                <w:rFonts w:ascii="Calibri" w:hAnsi="Calibri"/>
                <w:b w:val="0"/>
                <w:color w:val="18241F"/>
                <w:sz w:val="2"/>
              </w:rPr>
            </w:r>
          </w:p>
        </w:tc>
        <w:tc>
          <w:tcPr>
            <w:tcW w:type="dxa" w:w="4997"/>
            <w:shd w:fill="FFE8D6"/>
            <w:tcBorders>
              <w:top w:val="single" w:sz="0" w:color="FFE8D6"/>
              <w:left w:val="single" w:sz="0" w:color="FFE8D6"/>
              <w:bottom w:val="single" w:sz="0" w:color="FFE8D6"/>
              <w:right w:val="single" w:sz="0" w:color="FFE8D6"/>
              <w:insideH w:val="single" w:sz="0" w:color="FFE8D6"/>
              <w:insideV w:val="single" w:sz="0" w:color="FFE8D6"/>
            </w:tcBorders>
          </w:tcPr>
          <w:p>
            <w:r/>
            <w:r>
              <w:rPr>
                <w:b/>
                <w:color w:val="123F34"/>
                <w:sz w:val="19"/>
              </w:rPr>
              <w:t xml:space="preserve">What it is not  </w:t>
            </w:r>
            <w:r>
              <w:rPr>
                <w:color w:val="18241F"/>
                <w:sz w:val="18"/>
              </w:rPr>
              <w:t>A navigation system, a replacement for field verification, a source of inferred missing values, a repository for personal data, or a substitute for financial and operational delegations.</w:t>
            </w:r>
          </w:p>
        </w:tc>
      </w:tr>
    </w:tbl>
    <w:p>
      <w:pPr>
        <w:spacing w:after="0"/>
      </w:pPr>
    </w:p>
    <w:p>
      <w:r>
        <w:br w:type="page"/>
      </w:r>
    </w:p>
    <w:p>
      <w:pPr>
        <w:pStyle w:val="Eyebrow"/>
      </w:pPr>
      <w:r>
        <w:t>OPERATING METHOD</w:t>
      </w:r>
    </w:p>
    <w:p>
      <w:pPr>
        <w:pStyle w:val="Heading1"/>
      </w:pPr>
      <w:r>
        <w:t>Decision chain</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Scope</w:t>
            </w:r>
          </w:p>
          <w:p>
            <w:pPr>
              <w:pStyle w:val="Small"/>
            </w:pPr>
            <w:r>
              <w:t>Select the district, LLG, programme, asset class, status or date range.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Read</w:t>
            </w:r>
          </w:p>
          <w:p>
            <w:pPr>
              <w:pStyle w:val="Small"/>
            </w:pPr>
            <w:r>
              <w:t>Review the value, source, evidence date, mapped/unmapped flag and limitation.</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Interpret</w:t>
            </w:r>
          </w:p>
          <w:p>
            <w:pPr>
              <w:pStyle w:val="Small"/>
            </w:pPr>
            <w:r>
              <w:t>Use the dashboard or Sibala to describe the evidence without overstating certainty.</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Act</w:t>
            </w:r>
          </w:p>
          <w:p>
            <w:pPr>
              <w:pStyle w:val="Small"/>
            </w:pPr>
            <w:r>
              <w:t>Record the approved task, update, review, decision or escalation in the correct workflow.</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Assure</w:t>
            </w:r>
          </w:p>
          <w:p>
            <w:pPr>
              <w:pStyle w:val="Small"/>
            </w:pPr>
            <w:r>
              <w:t>Confirm the audit trail, evidence reference and required approval before reporting completion.</w:t>
            </w:r>
          </w:p>
        </w:tc>
      </w:tr>
    </w:tbl>
    <w:p>
      <w:pPr>
        <w:spacing w:after="0"/>
      </w:pPr>
    </w:p>
    <w:p>
      <w:r>
        <w:br w:type="page"/>
      </w:r>
    </w:p>
    <w:p>
      <w:pPr>
        <w:pStyle w:val="Eyebrow"/>
      </w:pPr>
      <w:r>
        <w:t>SECURE ACCESS</w:t>
      </w:r>
    </w:p>
    <w:p>
      <w:pPr>
        <w:pStyle w:val="Heading1"/>
      </w:pPr>
      <w:r>
        <w:t>Sign in and protect the session</w:t>
      </w:r>
    </w:p>
    <w:p>
      <w:r>
        <w:rPr>
          <w:color w:val="65736C"/>
          <w:sz w:val="22"/>
        </w:rPr>
        <w:t>Cloudflare Access presents the branded WPGIS login. Authorised users enter their PNGSDP email address, receive a one-time PIN and use it to open the protected application.</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Open the site</w:t>
            </w:r>
          </w:p>
          <w:p>
            <w:pPr>
              <w:pStyle w:val="Small"/>
            </w:pPr>
            <w:r>
              <w:t>Go to https://wpgis.org using a current browser.</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Enter the authorised email</w:t>
            </w:r>
          </w:p>
          <w:p>
            <w:pPr>
              <w:pStyle w:val="Small"/>
            </w:pPr>
            <w:r>
              <w:t>Use your @pngsdp.org address. Do not use a shared or personal mailbox.</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Retrieve the one-time PIN</w:t>
            </w:r>
          </w:p>
          <w:p>
            <w:pPr>
              <w:pStyle w:val="Small"/>
            </w:pPr>
            <w:r>
              <w:t>Check the email, confirm the site name and use the current PIN only.</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Complete sign-in</w:t>
            </w:r>
          </w:p>
          <w:p>
            <w:pPr>
              <w:pStyle w:val="Small"/>
            </w:pPr>
            <w:r>
              <w:t>Enter the PIN in the Cloudflare Access window. Access is limited by the configured session duration.</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Close securely</w:t>
            </w:r>
          </w:p>
          <w:p>
            <w:pPr>
              <w:pStyle w:val="Small"/>
            </w:pPr>
            <w:r>
              <w:t>Sign out or close the browser when using a shared device. Never forward the PIN.</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C83D3D"/>
            <w:vAlign w:val="center"/>
            <w:tcMar>
              <w:top w:w="80" w:type="dxa"/>
              <w:start w:w="120" w:type="dxa"/>
              <w:bottom w:w="80" w:type="dxa"/>
              <w:end w:w="120" w:type="dxa"/>
            </w:tcMar>
            <w:tcBorders>
              <w:top w:val="single" w:sz="0" w:color="FBE5E5"/>
              <w:left w:val="single" w:sz="0" w:color="FBE5E5"/>
              <w:bottom w:val="single" w:sz="0" w:color="FBE5E5"/>
              <w:right w:val="single" w:sz="0" w:color="FBE5E5"/>
              <w:insideH w:val="single" w:sz="0" w:color="FBE5E5"/>
              <w:insideV w:val="single" w:sz="0" w:color="FBE5E5"/>
            </w:tcBorders>
          </w:tcPr>
          <w:p>
            <w:r/>
            <w:r>
              <w:rPr>
                <w:rFonts w:ascii="Calibri" w:hAnsi="Calibri"/>
                <w:b w:val="0"/>
                <w:color w:val="18241F"/>
                <w:sz w:val="2"/>
              </w:rPr>
            </w:r>
          </w:p>
        </w:tc>
        <w:tc>
          <w:tcPr>
            <w:tcW w:type="dxa" w:w="4997"/>
            <w:shd w:fill="FBE5E5"/>
            <w:tcBorders>
              <w:top w:val="single" w:sz="0" w:color="FBE5E5"/>
              <w:left w:val="single" w:sz="0" w:color="FBE5E5"/>
              <w:bottom w:val="single" w:sz="0" w:color="FBE5E5"/>
              <w:right w:val="single" w:sz="0" w:color="FBE5E5"/>
              <w:insideH w:val="single" w:sz="0" w:color="FBE5E5"/>
              <w:insideV w:val="single" w:sz="0" w:color="FBE5E5"/>
            </w:tcBorders>
          </w:tcPr>
          <w:p>
            <w:r/>
            <w:r>
              <w:rPr>
                <w:b/>
                <w:color w:val="123F34"/>
                <w:sz w:val="19"/>
              </w:rPr>
              <w:t xml:space="preserve">Administrator access  </w:t>
            </w:r>
            <w:r>
              <w:rPr>
                <w:color w:val="18241F"/>
                <w:sz w:val="18"/>
              </w:rPr>
              <w:t>The general PNGSDP email policy does not grant administrator rights. Restricted administration paths are governed by a separate policy for the designated administrator account.</w:t>
            </w:r>
          </w:p>
        </w:tc>
      </w:tr>
    </w:tbl>
    <w:p>
      <w:pPr>
        <w:spacing w:after="0"/>
      </w:pPr>
    </w:p>
    <w:p>
      <w:pPr>
        <w:pStyle w:val="Heading2"/>
      </w:pPr>
      <w:r>
        <w:t>Access troubleshooting</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PIN did not arrive</w:t>
            </w:r>
          </w:p>
          <w:p>
            <w:pPr>
              <w:pStyle w:val="Small"/>
            </w:pPr>
            <w:r>
              <w:t>Confirm spelling, inbox rules, junk folder and that the mailbox can receive external service messages.</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Login loop</w:t>
            </w:r>
          </w:p>
          <w:p>
            <w:pPr>
              <w:pStyle w:val="Small"/>
            </w:pPr>
            <w:r>
              <w:t>Use a private/incognito window, confirm the intended email and retry once. Do not repeatedly request PINs.</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Access denied</w:t>
            </w:r>
          </w:p>
          <w:p>
            <w:pPr>
              <w:pStyle w:val="Small"/>
            </w:pPr>
            <w:r>
              <w:t>The module may require a narrower role or administrator policy. Record the URL and contact support.</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Expired session</w:t>
            </w:r>
          </w:p>
          <w:p>
            <w:pPr>
              <w:pStyle w:val="Small"/>
            </w:pPr>
            <w:r>
              <w:t>Return to wpgis.org and complete a fresh one-time PIN sign-in.</w:t>
            </w:r>
          </w:p>
        </w:tc>
      </w:tr>
    </w:tbl>
    <w:p>
      <w:r>
        <w:br w:type="page"/>
      </w:r>
    </w:p>
    <w:p>
      <w:pPr>
        <w:pStyle w:val="Eyebrow"/>
      </w:pPr>
      <w:r>
        <w:t>COMMON CONTROLS</w:t>
      </w:r>
    </w:p>
    <w:p>
      <w:pPr>
        <w:pStyle w:val="Heading1"/>
      </w:pPr>
      <w:r>
        <w:t>Navigate, filter and report consistently</w:t>
      </w:r>
    </w:p>
    <w:p>
      <w:r>
        <w:rPr>
          <w:color w:val="65736C"/>
          <w:sz w:val="22"/>
        </w:rPr>
        <w:t>All modules use the same operating logic: choose a scope, read the status, inspect evidence, then act through the appropriate workflow.</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Navigation rail</w:t>
            </w:r>
          </w:p>
          <w:p>
            <w:pPr>
              <w:pStyle w:val="Small"/>
            </w:pPr>
            <w:r>
              <w:t>Moves between dashboard areas. Restricted links still require the correct Access policy.</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Filters</w:t>
            </w:r>
          </w:p>
          <w:p>
            <w:pPr>
              <w:pStyle w:val="Small"/>
            </w:pPr>
            <w:r>
              <w:t>Narrow totals by district, LLG, programme, asset type, status, date or search phrase.</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KPI cards</w:t>
            </w:r>
          </w:p>
          <w:p>
            <w:pPr>
              <w:pStyle w:val="Small"/>
            </w:pPr>
            <w:r>
              <w:t>Show the current filtered scope. They are not separate totals and should be read with source notes.</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Charts</w:t>
            </w:r>
          </w:p>
          <w:p>
            <w:pPr>
              <w:pStyle w:val="Small"/>
            </w:pPr>
            <w:r>
              <w:t>Summarise composition, evidence completeness, location distribution or progress.</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Tables</w:t>
            </w:r>
          </w:p>
          <w:p>
            <w:pPr>
              <w:pStyle w:val="Small"/>
            </w:pPr>
            <w:r>
              <w:t>Provide record-level detail, action buttons and evidence fields.</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Print / export</w:t>
            </w:r>
          </w:p>
          <w:p>
            <w:pPr>
              <w:pStyle w:val="Small"/>
            </w:pPr>
            <w:r>
              <w:t>Creates a decision brief from the current view. Verify the scope before distribution.</w:t>
            </w:r>
          </w:p>
        </w:tc>
      </w:tr>
    </w:tbl>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Scope test  </w:t>
            </w:r>
            <w:r>
              <w:rPr>
                <w:color w:val="18241F"/>
                <w:sz w:val="18"/>
              </w:rPr>
              <w:t>Before quoting a number, say: ‘This figure represents [scope], from [source], as at [date], with [known limitation].’</w:t>
            </w:r>
          </w:p>
        </w:tc>
      </w:tr>
    </w:tbl>
    <w:p>
      <w:pPr>
        <w:spacing w:after="0"/>
      </w:pPr>
    </w:p>
    <w:p>
      <w:r>
        <w:br w:type="page"/>
      </w:r>
    </w:p>
    <w:p>
      <w:pPr>
        <w:pStyle w:val="Eyebrow"/>
      </w:pPr>
      <w:r>
        <w:t>MODULE 1 · ACCESS ATLAS</w:t>
      </w:r>
    </w:p>
    <w:p>
      <w:pPr>
        <w:pStyle w:val="Heading1"/>
      </w:pPr>
      <w:r>
        <w:t>Explore people, places, services and infrastructure</w:t>
      </w:r>
    </w:p>
    <w:p>
      <w:r>
        <w:rPr>
          <w:color w:val="65736C"/>
          <w:sz w:val="22"/>
        </w:rPr>
        <w:t>The Access Atlas is the primary geographic interface. It opens at the Western Province extent with limited surrounding context and supports map layers, search, filters, hover summaries and detailed click records.</w:t>
      </w:r>
    </w:p>
    <w:p>
      <w:pPr>
        <w:jc w:val="center"/>
      </w:pPr>
      <w:r>
        <w:drawing>
          <wp:inline xmlns:a="http://schemas.openxmlformats.org/drawingml/2006/main" xmlns:pic="http://schemas.openxmlformats.org/drawingml/2006/picture">
            <wp:extent cx="4480560" cy="2520315"/>
            <wp:docPr id="2" name="Picture 2"/>
            <wp:cNvGraphicFramePr>
              <a:graphicFrameLocks noChangeAspect="1"/>
            </wp:cNvGraphicFramePr>
            <a:graphic>
              <a:graphicData uri="http://schemas.openxmlformats.org/drawingml/2006/picture">
                <pic:pic>
                  <pic:nvPicPr>
                    <pic:cNvPr id="0" name="access-atlas.png"/>
                    <pic:cNvPicPr/>
                  </pic:nvPicPr>
                  <pic:blipFill>
                    <a:blip r:embed="rId12"/>
                    <a:stretch>
                      <a:fillRect/>
                    </a:stretch>
                  </pic:blipFill>
                  <pic:spPr>
                    <a:xfrm>
                      <a:off x="0" y="0"/>
                      <a:ext cx="4480560" cy="2520315"/>
                    </a:xfrm>
                    <a:prstGeom prst="rect"/>
                  </pic:spPr>
                </pic:pic>
              </a:graphicData>
            </a:graphic>
          </wp:inline>
        </w:drawing>
      </w:r>
    </w:p>
    <w:p>
      <w:pPr>
        <w:pStyle w:val="Small"/>
        <w:jc w:val="center"/>
      </w:pPr>
      <w:r>
        <w:t>Access Atlas: province-wide planning view with clustered population and infrastructure symbols.</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Open Map Layers</w:t>
            </w:r>
          </w:p>
          <w:p>
            <w:pPr>
              <w:pStyle w:val="Small"/>
            </w:pPr>
            <w:r>
              <w:t>Use the left MAP LAYERS indicator and pin the panel if working through multiple selections.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Choose the administrative scope</w:t>
            </w:r>
          </w:p>
          <w:p>
            <w:pPr>
              <w:pStyle w:val="Small"/>
            </w:pPr>
            <w:r>
              <w:t>Select All, district and LLG filters before reading statistics.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Choose a layer</w:t>
            </w:r>
          </w:p>
          <w:p>
            <w:pPr>
              <w:pStyle w:val="Small"/>
            </w:pPr>
            <w:r>
              <w:t>Open the relevant dropdown: communities, CMCA, facilities, telecommunications, water, transport or programme portfolio.</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Inspect progressively</w:t>
            </w:r>
          </w:p>
          <w:p>
            <w:pPr>
              <w:pStyle w:val="Small"/>
            </w:pPr>
            <w:r>
              <w:t>Hover for a basic summary; click a feature for detailed governed attributes.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Reset before a new question</w:t>
            </w:r>
          </w:p>
          <w:p>
            <w:pPr>
              <w:pStyle w:val="Small"/>
            </w:pPr>
            <w:r>
              <w:t>Clear incompatible selections so a prior filter does not affect the next interpretation.</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F7D23"/>
            <w:vAlign w:val="center"/>
            <w:tcMar>
              <w:top w:w="80" w:type="dxa"/>
              <w:start w:w="120" w:type="dxa"/>
              <w:bottom w:w="80" w:type="dxa"/>
              <w:end w:w="120" w:type="dxa"/>
            </w:tcMar>
            <w:tcBorders>
              <w:top w:val="single" w:sz="0" w:color="FFE8D6"/>
              <w:left w:val="single" w:sz="0" w:color="FFE8D6"/>
              <w:bottom w:val="single" w:sz="0" w:color="FFE8D6"/>
              <w:right w:val="single" w:sz="0" w:color="FFE8D6"/>
              <w:insideH w:val="single" w:sz="0" w:color="FFE8D6"/>
              <w:insideV w:val="single" w:sz="0" w:color="FFE8D6"/>
            </w:tcBorders>
          </w:tcPr>
          <w:p>
            <w:r/>
            <w:r>
              <w:rPr>
                <w:rFonts w:ascii="Calibri" w:hAnsi="Calibri"/>
                <w:b w:val="0"/>
                <w:color w:val="18241F"/>
                <w:sz w:val="2"/>
              </w:rPr>
            </w:r>
          </w:p>
        </w:tc>
        <w:tc>
          <w:tcPr>
            <w:tcW w:type="dxa" w:w="4997"/>
            <w:shd w:fill="FFE8D6"/>
            <w:tcBorders>
              <w:top w:val="single" w:sz="0" w:color="FFE8D6"/>
              <w:left w:val="single" w:sz="0" w:color="FFE8D6"/>
              <w:bottom w:val="single" w:sz="0" w:color="FFE8D6"/>
              <w:right w:val="single" w:sz="0" w:color="FFE8D6"/>
              <w:insideH w:val="single" w:sz="0" w:color="FFE8D6"/>
              <w:insideV w:val="single" w:sz="0" w:color="FFE8D6"/>
            </w:tcBorders>
          </w:tcPr>
          <w:p>
            <w:r/>
            <w:r>
              <w:rPr>
                <w:b/>
                <w:color w:val="123F34"/>
                <w:sz w:val="19"/>
              </w:rPr>
              <w:t xml:space="preserve">Map limitation  </w:t>
            </w:r>
            <w:r>
              <w:rPr>
                <w:color w:val="18241F"/>
                <w:sz w:val="18"/>
              </w:rPr>
              <w:t>Distances and 3 km access estimates are planning calculations. They are not verified travel time, road condition, boat schedule, service availability or navigation advice.</w:t>
            </w:r>
          </w:p>
        </w:tc>
      </w:tr>
    </w:tbl>
    <w:p>
      <w:pPr>
        <w:spacing w:after="0"/>
      </w:pPr>
    </w:p>
    <w:p>
      <w:r>
        <w:br w:type="page"/>
      </w:r>
    </w:p>
    <w:p>
      <w:pPr>
        <w:pStyle w:val="Eyebrow"/>
      </w:pPr>
      <w:r>
        <w:t>ACCESS ATLAS</w:t>
      </w:r>
    </w:p>
    <w:p>
      <w:pPr>
        <w:pStyle w:val="Heading1"/>
      </w:pPr>
      <w:r>
        <w:t>Read layers and statistics</w:t>
      </w:r>
    </w:p>
    <w:p>
      <w:r>
        <w:rPr>
          <w:color w:val="65736C"/>
          <w:sz w:val="22"/>
        </w:rPr>
        <w:t>Layer statistics change with the current map and filter scope. Counts describe mapped records; they do not automatically prove that an asset exists, operates or serves the displayed population.</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Administrative areas</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District, LLG, ward and province boundaries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Orient the decision and control scope</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Boundary/label source and scale</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Communities</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Mapped community points and aggregated population</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Location and visible population analysis</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77,126 people remain outside mapped visibility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CMCA regions</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Selectable regional shades and community sub-filter</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Regional context and engagement planning</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Historical map extraction requires validation</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Water</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Existing borewells, planned allocations and staging</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Coverage and deployment planning</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Allocation is not installed infrastructure</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Transport</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Airstrips, landing sites, ports and routes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Nearest mapped access and maintenance context</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Operational status and routes need verification</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Telecommunications</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Confirmed operational and planned tower records</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Connectivity planning</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Planned sites must not be shown as operational</w:t>
            </w:r>
          </w:p>
        </w:tc>
      </w:tr>
    </w:tbl>
    <w:p>
      <w:pPr>
        <w:spacing w:after="0"/>
      </w:pPr>
    </w:p>
    <w:p>
      <w:pPr>
        <w:pStyle w:val="Heading2"/>
      </w:pPr>
      <w:r>
        <w:t>Population reading checklist</w:t>
      </w:r>
    </w:p>
    <w:p>
      <w:pPr>
        <w:pStyle w:val="ListBullet"/>
      </w:pPr>
      <w:r>
        <w:rPr>
          <w:b/>
        </w:rPr>
        <w:t xml:space="preserve">Mapped population: </w:t>
      </w:r>
      <w:r>
        <w:t>people linked to a community geometry in the approved consolidated table.</w:t>
      </w:r>
    </w:p>
    <w:p>
      <w:pPr>
        <w:pStyle w:val="ListBullet"/>
      </w:pPr>
      <w:r>
        <w:rPr>
          <w:b/>
        </w:rPr>
        <w:t xml:space="preserve">Unmapped population: </w:t>
      </w:r>
      <w:r>
        <w:t>source-table population without a reliable community pin; do not spatially allocate it by guess.</w:t>
      </w:r>
    </w:p>
    <w:p>
      <w:pPr>
        <w:pStyle w:val="ListBullet"/>
      </w:pPr>
      <w:r>
        <w:rPr>
          <w:b/>
        </w:rPr>
        <w:t xml:space="preserve">Cluster total: </w:t>
      </w:r>
      <w:r>
        <w:t>aggregates records visible at the current zoom; click or zoom for the component detail.</w:t>
      </w:r>
    </w:p>
    <w:p>
      <w:pPr>
        <w:pStyle w:val="ListBullet"/>
      </w:pPr>
      <w:r>
        <w:rPr>
          <w:b/>
        </w:rPr>
        <w:t xml:space="preserve">3 km borewell access: </w:t>
      </w:r>
      <w:r>
        <w:t>straight-line planning estimate from mapped communities; not a household survey result.</w:t>
      </w:r>
    </w:p>
    <w:p>
      <w:r>
        <w:br w:type="page"/>
      </w:r>
    </w:p>
    <w:p>
      <w:pPr>
        <w:pStyle w:val="Eyebrow"/>
      </w:pPr>
      <w:r>
        <w:t>MODULE 2 · SIBALA DALAGI</w:t>
      </w:r>
    </w:p>
    <w:p>
      <w:pPr>
        <w:pStyle w:val="Heading1"/>
      </w:pPr>
      <w:r>
        <w:t>Ask evidence-grounded questions</w:t>
      </w:r>
    </w:p>
    <w:p>
      <w:r>
        <w:rPr>
          <w:color w:val="65736C"/>
          <w:sz w:val="22"/>
        </w:rPr>
        <w:t>Sibala Dalagi is the conversational Western Province GIS assistant. Local GIS calculations remain authoritative; the AI helps interpret the results in plain language and maintain conversational context.</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Good question</w:t>
            </w:r>
          </w:p>
          <w:p>
            <w:pPr>
              <w:pStyle w:val="Small"/>
            </w:pPr>
            <w:r>
              <w:t>How many functional borewells are mapped in [LLG], and what mapped population is within 3 km?</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Good question</w:t>
            </w:r>
          </w:p>
          <w:p>
            <w:pPr>
              <w:pStyle w:val="Small"/>
            </w:pPr>
            <w:r>
              <w:t>Which mapped airstrip or landing site is nearest to [community], and what is its recorded status?</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Good question</w:t>
            </w:r>
          </w:p>
          <w:p>
            <w:pPr>
              <w:pStyle w:val="Small"/>
            </w:pPr>
            <w:r>
              <w:t>Compare mapped population visibility between [district A] and [district B].</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Good question</w:t>
            </w:r>
          </w:p>
          <w:p>
            <w:pPr>
              <w:pStyle w:val="Small"/>
            </w:pPr>
            <w:r>
              <w:t>Which maintenance records in [district] lack an inspection date or evidence reference?</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Avoid</w:t>
            </w:r>
          </w:p>
          <w:p>
            <w:pPr>
              <w:pStyle w:val="Small"/>
            </w:pPr>
            <w:r>
              <w:t>Is this route safe today? — requires current operational advice, weather and field verification.</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Avoid</w:t>
            </w:r>
          </w:p>
          <w:p>
            <w:pPr>
              <w:pStyle w:val="Small"/>
            </w:pPr>
            <w:r>
              <w:t>Tell me the missing coordinate. — the assistant must not invent absent geography.</w:t>
            </w:r>
          </w:p>
        </w:tc>
      </w:tr>
    </w:tbl>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Name the place precisely</w:t>
            </w:r>
          </w:p>
          <w:p>
            <w:pPr>
              <w:pStyle w:val="Small"/>
            </w:pPr>
            <w:r>
              <w:t>Include district or LLG where the same or similar name may occur more than once.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Name the evidence class</w:t>
            </w:r>
          </w:p>
          <w:p>
            <w:pPr>
              <w:pStyle w:val="Small"/>
            </w:pPr>
            <w:r>
              <w:t>Ask for borewells, airstrips, population, projects, maintenance or PRF metadata.</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Name the status or time</w:t>
            </w:r>
          </w:p>
          <w:p>
            <w:pPr>
              <w:pStyle w:val="Small"/>
            </w:pPr>
            <w:r>
              <w:t>Specify functional/planned/WIP, inspection date, project phase or approval stage.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Ask for limitation</w:t>
            </w:r>
          </w:p>
          <w:p>
            <w:pPr>
              <w:pStyle w:val="Small"/>
            </w:pPr>
            <w:r>
              <w:t>Request the source, evidence date and what remains unverified.</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Verify on screen</w:t>
            </w:r>
          </w:p>
          <w:p>
            <w:pPr>
              <w:pStyle w:val="Small"/>
            </w:pPr>
            <w:r>
              <w:t>Use the source chip, map popup or record table before acting on the response.</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When AI is unavailable  </w:t>
            </w:r>
            <w:r>
              <w:rPr>
                <w:color w:val="18241F"/>
                <w:sz w:val="18"/>
              </w:rPr>
              <w:t>The governed application and local calculations continue to work. Use the map, dashboard and evidence library; report the error without copying sensitive content into a support message.</w:t>
            </w:r>
          </w:p>
        </w:tc>
      </w:tr>
    </w:tbl>
    <w:p>
      <w:pPr>
        <w:spacing w:after="0"/>
      </w:pPr>
    </w:p>
    <w:p>
      <w:r>
        <w:br w:type="page"/>
      </w:r>
    </w:p>
    <w:p>
      <w:pPr>
        <w:pStyle w:val="Eyebrow"/>
      </w:pPr>
      <w:r>
        <w:t>MODULE 3 · INTELLIGENCE HUB</w:t>
      </w:r>
    </w:p>
    <w:p>
      <w:pPr>
        <w:pStyle w:val="Heading1"/>
      </w:pPr>
      <w:r>
        <w:t>Interpret evidence for leadership and delivery</w:t>
      </w:r>
    </w:p>
    <w:p>
      <w:r>
        <w:rPr>
          <w:color w:val="65736C"/>
          <w:sz w:val="22"/>
        </w:rPr>
        <w:t>The Intelligence Hub converts governed map and database records into a decision workspace for leadership, programme officers, field operations and consultants.</w:t>
      </w:r>
    </w:p>
    <w:p>
      <w:pPr>
        <w:jc w:val="center"/>
      </w:pPr>
      <w:r>
        <w:drawing>
          <wp:inline xmlns:a="http://schemas.openxmlformats.org/drawingml/2006/main" xmlns:pic="http://schemas.openxmlformats.org/drawingml/2006/picture">
            <wp:extent cx="5074920" cy="2856398"/>
            <wp:docPr id="3" name="Picture 3"/>
            <wp:cNvGraphicFramePr>
              <a:graphicFrameLocks noChangeAspect="1"/>
            </wp:cNvGraphicFramePr>
            <a:graphic>
              <a:graphicData uri="http://schemas.openxmlformats.org/drawingml/2006/picture">
                <pic:pic>
                  <pic:nvPicPr>
                    <pic:cNvPr id="0" name="intelligence-hub.png"/>
                    <pic:cNvPicPr/>
                  </pic:nvPicPr>
                  <pic:blipFill>
                    <a:blip r:embed="rId13"/>
                    <a:stretch>
                      <a:fillRect/>
                    </a:stretch>
                  </pic:blipFill>
                  <pic:spPr>
                    <a:xfrm>
                      <a:off x="0" y="0"/>
                      <a:ext cx="5074920" cy="2856398"/>
                    </a:xfrm>
                    <a:prstGeom prst="rect"/>
                  </pic:spPr>
                </pic:pic>
              </a:graphicData>
            </a:graphic>
          </wp:inline>
        </w:drawing>
      </w:r>
    </w:p>
    <w:p>
      <w:pPr>
        <w:pStyle w:val="Small"/>
        <w:jc w:val="center"/>
      </w:pPr>
      <w:r>
        <w:t>Intelligence Hub command centre: every material figure is paired with evidence status and known limitation.</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Command centre</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Executive evidence summary</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Population visibility, mapped assets and readiness</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Open evidence map or export brief</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People &amp; places</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Geographic and population view</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District/community visibility and uncertainty</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Investigate gaps without forced allocation</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Services &amp; access</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Infrastructure and access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Coverage, status and nearest mapped asset</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Separate presence from functionality</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Portfolio</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Programme/project intelligence</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Approved projects and location relationships</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Source required for unapproved results</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Evidence library</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Source and limitation register</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Authority, date and known caveats</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Use before high-stakes reporting</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Consultant workspace</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Structured review support</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Findings and evidence references</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No inference of programme or financial outcome</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F7D23"/>
            <w:vAlign w:val="center"/>
            <w:tcMar>
              <w:top w:w="80" w:type="dxa"/>
              <w:start w:w="120" w:type="dxa"/>
              <w:bottom w:w="80" w:type="dxa"/>
              <w:end w:w="120" w:type="dxa"/>
            </w:tcMar>
            <w:tcBorders>
              <w:top w:val="single" w:sz="0" w:color="FFE8D6"/>
              <w:left w:val="single" w:sz="0" w:color="FFE8D6"/>
              <w:bottom w:val="single" w:sz="0" w:color="FFE8D6"/>
              <w:right w:val="single" w:sz="0" w:color="FFE8D6"/>
              <w:insideH w:val="single" w:sz="0" w:color="FFE8D6"/>
              <w:insideV w:val="single" w:sz="0" w:color="FFE8D6"/>
            </w:tcBorders>
          </w:tcPr>
          <w:p>
            <w:r/>
            <w:r>
              <w:rPr>
                <w:rFonts w:ascii="Calibri" w:hAnsi="Calibri"/>
                <w:b w:val="0"/>
                <w:color w:val="18241F"/>
                <w:sz w:val="2"/>
              </w:rPr>
            </w:r>
          </w:p>
        </w:tc>
        <w:tc>
          <w:tcPr>
            <w:tcW w:type="dxa" w:w="4997"/>
            <w:shd w:fill="FFE8D6"/>
            <w:tcBorders>
              <w:top w:val="single" w:sz="0" w:color="FFE8D6"/>
              <w:left w:val="single" w:sz="0" w:color="FFE8D6"/>
              <w:bottom w:val="single" w:sz="0" w:color="FFE8D6"/>
              <w:right w:val="single" w:sz="0" w:color="FFE8D6"/>
              <w:insideH w:val="single" w:sz="0" w:color="FFE8D6"/>
              <w:insideV w:val="single" w:sz="0" w:color="FFE8D6"/>
            </w:tcBorders>
          </w:tcPr>
          <w:p>
            <w:r/>
            <w:r>
              <w:rPr>
                <w:b/>
                <w:color w:val="123F34"/>
                <w:sz w:val="19"/>
              </w:rPr>
              <w:t xml:space="preserve">Consultant rule  </w:t>
            </w:r>
            <w:r>
              <w:rPr>
                <w:color w:val="18241F"/>
                <w:sz w:val="18"/>
              </w:rPr>
              <w:t>A map feature is not proof of programme performance. Link every finding to the approved evidence source and state where data is incomplete.</w:t>
            </w:r>
          </w:p>
        </w:tc>
      </w:tr>
    </w:tbl>
    <w:p>
      <w:pPr>
        <w:spacing w:after="0"/>
      </w:pPr>
    </w:p>
    <w:p>
      <w:r>
        <w:br w:type="page"/>
      </w:r>
    </w:p>
    <w:p>
      <w:pPr>
        <w:pStyle w:val="Eyebrow"/>
      </w:pPr>
      <w:r>
        <w:t>MODULE 4 · MAINTENANCE COMMAND</w:t>
      </w:r>
    </w:p>
    <w:p>
      <w:pPr>
        <w:pStyle w:val="Heading1"/>
      </w:pPr>
      <w:r>
        <w:t>Assure airstrips, borewells and towers</w:t>
      </w:r>
    </w:p>
    <w:p>
      <w:r>
        <w:rPr>
          <w:color w:val="65736C"/>
          <w:sz w:val="22"/>
        </w:rPr>
        <w:t>The Maintenance Command presents filtered operational assurance views for transport, water and telecommunications assets. It uses the governed working database and approved GIS layers.</w:t>
      </w:r>
    </w:p>
    <w:p>
      <w:pPr>
        <w:jc w:val="center"/>
      </w:pPr>
      <w:r>
        <w:drawing>
          <wp:inline xmlns:a="http://schemas.openxmlformats.org/drawingml/2006/main" xmlns:pic="http://schemas.openxmlformats.org/drawingml/2006/picture">
            <wp:extent cx="6172200" cy="3473997"/>
            <wp:docPr id="4" name="Picture 4"/>
            <wp:cNvGraphicFramePr>
              <a:graphicFrameLocks noChangeAspect="1"/>
            </wp:cNvGraphicFramePr>
            <a:graphic>
              <a:graphicData uri="http://schemas.openxmlformats.org/drawingml/2006/picture">
                <pic:pic>
                  <pic:nvPicPr>
                    <pic:cNvPr id="0" name="maintenance-command.png"/>
                    <pic:cNvPicPr/>
                  </pic:nvPicPr>
                  <pic:blipFill>
                    <a:blip r:embed="rId14"/>
                    <a:stretch>
                      <a:fillRect/>
                    </a:stretch>
                  </pic:blipFill>
                  <pic:spPr>
                    <a:xfrm>
                      <a:off x="0" y="0"/>
                      <a:ext cx="6172200" cy="3473997"/>
                    </a:xfrm>
                    <a:prstGeom prst="rect"/>
                  </pic:spPr>
                </pic:pic>
              </a:graphicData>
            </a:graphic>
          </wp:inline>
        </w:drawing>
      </w:r>
    </w:p>
    <w:p>
      <w:pPr>
        <w:pStyle w:val="Small"/>
        <w:jc w:val="center"/>
      </w:pPr>
      <w:r>
        <w:t>Airstrip and landing-site command view: status, evidence completeness, district distribution and management attention queue.</w:t>
      </w:r>
    </w:p>
    <w:tbl>
      <w:tblPr>
        <w:tblW w:type="auto" w:w="0"/>
        <w:jc w:val="center"/>
        <w:tblLayout w:type="fixed"/>
        <w:tblLook w:firstColumn="1" w:firstRow="1" w:lastColumn="0" w:lastRow="0" w:noHBand="0" w:noVBand="1" w:val="04A0"/>
      </w:tblPr>
      <w:tblGrid>
        <w:gridCol w:w="2434"/>
        <w:gridCol w:w="2434"/>
        <w:gridCol w:w="2434"/>
        <w:gridCol w:w="2434"/>
      </w:tblGrid>
      <w:tr>
        <w:tc>
          <w:tcPr>
            <w:tcW w:type="dxa" w:w="2498"/>
            <w:shd w:fill="E2F2E7"/>
            <w:tcBorders>
              <w:top w:val="single" w:sz="8" w:color="2D8B59"/>
              <w:left w:val="single" w:sz="8" w:color="2D8B59"/>
              <w:bottom w:val="single" w:sz="8" w:color="2D8B59"/>
              <w:right w:val="single" w:sz="8" w:color="2D8B59"/>
              <w:insideH w:val="single" w:sz="8" w:color="2D8B59"/>
              <w:insideV w:val="single" w:sz="8" w:color="2D8B59"/>
            </w:tcBorders>
          </w:tcPr>
          <w:p>
            <w:pPr>
              <w:jc w:val="center"/>
            </w:pPr>
            <w:r/>
            <w:r>
              <w:rPr>
                <w:b/>
                <w:color w:val="2D8B59"/>
                <w:sz w:val="16"/>
              </w:rPr>
              <w:t>GREEN</w:t>
            </w:r>
          </w:p>
          <w:p>
            <w:pPr>
              <w:jc w:val="center"/>
            </w:pPr>
            <w:r>
              <w:rPr>
                <w:sz w:val="15"/>
              </w:rPr>
              <w:t>Functional</w:t>
            </w:r>
          </w:p>
        </w:tc>
        <w:tc>
          <w:tcPr>
            <w:tcW w:type="dxa" w:w="2498"/>
            <w:shd w:fill="FFF4CC"/>
            <w:tcBorders>
              <w:top w:val="single" w:sz="8" w:color="F0B323"/>
              <w:left w:val="single" w:sz="8" w:color="F0B323"/>
              <w:bottom w:val="single" w:sz="8" w:color="F0B323"/>
              <w:right w:val="single" w:sz="8" w:color="F0B323"/>
              <w:insideH w:val="single" w:sz="8" w:color="F0B323"/>
              <w:insideV w:val="single" w:sz="8" w:color="F0B323"/>
            </w:tcBorders>
          </w:tcPr>
          <w:p>
            <w:pPr>
              <w:jc w:val="center"/>
            </w:pPr>
            <w:r/>
            <w:r>
              <w:rPr>
                <w:b/>
                <w:color w:val="F0B323"/>
                <w:sz w:val="16"/>
              </w:rPr>
              <w:t>YELLOW</w:t>
            </w:r>
          </w:p>
          <w:p>
            <w:pPr>
              <w:jc w:val="center"/>
            </w:pPr>
            <w:r>
              <w:rPr>
                <w:sz w:val="15"/>
              </w:rPr>
              <w:t>Work in progress</w:t>
            </w:r>
          </w:p>
        </w:tc>
        <w:tc>
          <w:tcPr>
            <w:tcW w:type="dxa" w:w="2498"/>
            <w:shd w:fill="FFE9D6"/>
            <w:tcBorders>
              <w:top w:val="single" w:sz="8" w:color="EF7D23"/>
              <w:left w:val="single" w:sz="8" w:color="EF7D23"/>
              <w:bottom w:val="single" w:sz="8" w:color="EF7D23"/>
              <w:right w:val="single" w:sz="8" w:color="EF7D23"/>
              <w:insideH w:val="single" w:sz="8" w:color="EF7D23"/>
              <w:insideV w:val="single" w:sz="8" w:color="EF7D23"/>
            </w:tcBorders>
          </w:tcPr>
          <w:p>
            <w:pPr>
              <w:jc w:val="center"/>
            </w:pPr>
            <w:r/>
            <w:r>
              <w:rPr>
                <w:b/>
                <w:color w:val="EF7D23"/>
                <w:sz w:val="16"/>
              </w:rPr>
              <w:t>ORANGE</w:t>
            </w:r>
          </w:p>
          <w:p>
            <w:pPr>
              <w:jc w:val="center"/>
            </w:pPr>
            <w:r>
              <w:rPr>
                <w:sz w:val="15"/>
              </w:rPr>
              <w:t>Planned / verify</w:t>
            </w:r>
          </w:p>
        </w:tc>
        <w:tc>
          <w:tcPr>
            <w:tcW w:type="dxa" w:w="2498"/>
            <w:shd w:fill="F9DCDC"/>
            <w:tcBorders>
              <w:top w:val="single" w:sz="8" w:color="C83D3D"/>
              <w:left w:val="single" w:sz="8" w:color="C83D3D"/>
              <w:bottom w:val="single" w:sz="8" w:color="C83D3D"/>
              <w:right w:val="single" w:sz="8" w:color="C83D3D"/>
              <w:insideH w:val="single" w:sz="8" w:color="C83D3D"/>
              <w:insideV w:val="single" w:sz="8" w:color="C83D3D"/>
            </w:tcBorders>
          </w:tcPr>
          <w:p>
            <w:pPr>
              <w:jc w:val="center"/>
            </w:pPr>
            <w:r/>
            <w:r>
              <w:rPr>
                <w:b/>
                <w:color w:val="C83D3D"/>
                <w:sz w:val="16"/>
              </w:rPr>
              <w:t>RED</w:t>
            </w:r>
          </w:p>
          <w:p>
            <w:pPr>
              <w:jc w:val="center"/>
            </w:pPr>
            <w:r>
              <w:rPr>
                <w:sz w:val="15"/>
              </w:rPr>
              <w:t>Not functional</w:t>
            </w:r>
          </w:p>
        </w:tc>
      </w:tr>
    </w:tbl>
    <w:p>
      <w:r>
        <w:br w:type="page"/>
      </w:r>
    </w:p>
    <w:p>
      <w:pPr>
        <w:pStyle w:val="Eyebrow"/>
      </w:pPr>
      <w:r>
        <w:t>MAINTENANCE COMMAND</w:t>
      </w:r>
    </w:p>
    <w:p>
      <w:pPr>
        <w:pStyle w:val="Heading1"/>
      </w:pPr>
      <w:r>
        <w:t>Operating sequence</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Choose the asset class</w:t>
            </w:r>
          </w:p>
          <w:p>
            <w:pPr>
              <w:pStyle w:val="Small"/>
            </w:pPr>
            <w:r>
              <w:t>Airstrips &amp; landing sites, Borewells, or Towers.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Set the scope</w:t>
            </w:r>
          </w:p>
          <w:p>
            <w:pPr>
              <w:pStyle w:val="Small"/>
            </w:pPr>
            <w:r>
              <w:t>Select district and status; use search for asset ID, LLG, ward or evidence.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Read the assurance cards</w:t>
            </w:r>
          </w:p>
          <w:p>
            <w:pPr>
              <w:pStyle w:val="Small"/>
            </w:pPr>
            <w:r>
              <w:t>Register, mapped, WIP, inspected, attention and completion values reflect the filtered scope.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Review exceptions</w:t>
            </w:r>
          </w:p>
          <w:p>
            <w:pPr>
              <w:pStyle w:val="Small"/>
            </w:pPr>
            <w:r>
              <w:t>Open the priority queue and confirm evidence, inspection date and current task.</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Update through Administration</w:t>
            </w:r>
          </w:p>
          <w:p>
            <w:pPr>
              <w:pStyle w:val="Small"/>
            </w:pPr>
            <w:r>
              <w:t>Authorised users use Update Records; never overwrite source coordinates from the dashboard.</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06</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Print the brief</w:t>
            </w:r>
          </w:p>
          <w:p>
            <w:pPr>
              <w:pStyle w:val="Small"/>
            </w:pPr>
            <w:r>
              <w:t>Verify filters, generated timestamp and source note before distribution.</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Status discipline  </w:t>
            </w:r>
            <w:r>
              <w:rPr>
                <w:color w:val="18241F"/>
                <w:sz w:val="18"/>
              </w:rPr>
              <w:t>Planned, pending verification and work in progress are not functional. A status change needs inspection or authorised evidence and remains auditable.</w:t>
            </w:r>
          </w:p>
        </w:tc>
      </w:tr>
    </w:tbl>
    <w:p>
      <w:pPr>
        <w:spacing w:after="0"/>
      </w:pPr>
    </w:p>
    <w:p>
      <w:r>
        <w:br w:type="page"/>
      </w:r>
    </w:p>
    <w:p>
      <w:pPr>
        <w:pStyle w:val="Eyebrow"/>
      </w:pPr>
      <w:r>
        <w:t>MODULE 5 · PROGRAMME DELIVERY OFFICE</w:t>
      </w:r>
    </w:p>
    <w:p>
      <w:pPr>
        <w:pStyle w:val="Heading1"/>
      </w:pPr>
      <w:r>
        <w:t>Create, plan, review and monitor projects</w:t>
      </w:r>
    </w:p>
    <w:p>
      <w:r>
        <w:rPr>
          <w:color w:val="65736C"/>
          <w:sz w:val="22"/>
        </w:rPr>
        <w:t>Every new project receives a timestamp-based unique identifier. The owner prepares a dated plan of up to 20 segments, submits it to a manager and responds to review comments before CEO monitoring is activated.</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CEO / sponsor issues the brief</w:t>
            </w:r>
          </w:p>
          <w:p>
            <w:pPr>
              <w:pStyle w:val="Small"/>
            </w:pPr>
            <w:r>
              <w:t>Enter the task intent, owner email, required dates and relevant programme/location context.</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Owner accepts and plans</w:t>
            </w:r>
          </w:p>
          <w:p>
            <w:pPr>
              <w:pStyle w:val="Small"/>
            </w:pPr>
            <w:r>
              <w:t>Confirm start/end dates, create up to 20 sequenced plan segments and assign owners/evidence.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Owner submits to manager</w:t>
            </w:r>
          </w:p>
          <w:p>
            <w:pPr>
              <w:pStyle w:val="Small"/>
            </w:pPr>
            <w:r>
              <w:t>Enter the manager email and issue the complete plan for review.</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Manager reviews</w:t>
            </w:r>
          </w:p>
          <w:p>
            <w:pPr>
              <w:pStyle w:val="Small"/>
            </w:pPr>
            <w:r>
              <w:t>Approve or return to originator with a clear change request. Iterations remain in the audit history.</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Register for monitoring</w:t>
            </w:r>
          </w:p>
          <w:p>
            <w:pPr>
              <w:pStyle w:val="Small"/>
            </w:pPr>
            <w:r>
              <w:t>After approval, the project becomes available in the CEO portfolio when CEO monitoring was selected.</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06</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Report progress</w:t>
            </w:r>
          </w:p>
          <w:p>
            <w:pPr>
              <w:pStyle w:val="Small"/>
            </w:pPr>
            <w:r>
              <w:t>Update actual progress, dates, evidence and exceptions. Do not convert a blank value into an assumed result.</w:t>
            </w:r>
          </w:p>
        </w:tc>
      </w:tr>
    </w:tbl>
    <w:p>
      <w:pPr>
        <w:spacing w:after="0"/>
      </w:pPr>
    </w:p>
    <w:p>
      <w:pPr>
        <w:pStyle w:val="Heading2"/>
      </w:pPr>
      <w:r>
        <w:t>Mandatory project controls</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Unique ID</w:t>
            </w:r>
          </w:p>
          <w:p>
            <w:pPr>
              <w:pStyle w:val="Small"/>
            </w:pPr>
            <w:r>
              <w:t>Timestamp-based identifier; quote it in correspondence, evidence and related finance requests.</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Dates</w:t>
            </w:r>
          </w:p>
          <w:p>
            <w:pPr>
              <w:pStyle w:val="Small"/>
            </w:pPr>
            <w:r>
              <w:t>Project and every plan segment require start/end dates; milestones must sit within the approved envelope.</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Ownership</w:t>
            </w:r>
          </w:p>
          <w:p>
            <w:pPr>
              <w:pStyle w:val="Small"/>
            </w:pPr>
            <w:r>
              <w:t>Use work email addresses for owner and manager to preserve identity and workflow routing.</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Change control</w:t>
            </w:r>
          </w:p>
          <w:p>
            <w:pPr>
              <w:pStyle w:val="Small"/>
            </w:pPr>
            <w:r>
              <w:t>Record why scope, date, owner or outcome changed; never silently rewrite the baseline.</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Evidence</w:t>
            </w:r>
          </w:p>
          <w:p>
            <w:pPr>
              <w:pStyle w:val="Small"/>
            </w:pPr>
            <w:r>
              <w:t>Link deliverable progress to an approved reference, inspection, acceptance or source record.</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CEO view</w:t>
            </w:r>
          </w:p>
          <w:p>
            <w:pPr>
              <w:pStyle w:val="Small"/>
            </w:pPr>
            <w:r>
              <w:t>Shows approved portfolio progress, exceptions, legacy tasking and assurance—not unapproved drafts.</w:t>
            </w:r>
          </w:p>
        </w:tc>
      </w:tr>
    </w:tbl>
    <w:p>
      <w:r>
        <w:br w:type="page"/>
      </w:r>
    </w:p>
    <w:p>
      <w:pPr>
        <w:pStyle w:val="Eyebrow"/>
      </w:pPr>
      <w:r>
        <w:t>PROGRAMME DELIVERY OFFICE</w:t>
      </w:r>
    </w:p>
    <w:p>
      <w:pPr>
        <w:pStyle w:val="Heading1"/>
      </w:pPr>
      <w:r>
        <w:t>Read the CEO &amp; Chief Operations dashboard</w:t>
      </w:r>
    </w:p>
    <w:p>
      <w:r>
        <w:rPr>
          <w:color w:val="65736C"/>
          <w:sz w:val="22"/>
        </w:rPr>
        <w:t>The executive dashboard should answer: what is being delivered, who owns it, where it is, when it is due, what has changed and what requires intervention.</w:t>
      </w:r>
    </w:p>
    <w:p>
      <w:pPr>
        <w:jc w:val="center"/>
      </w:pPr>
      <w:r>
        <w:drawing>
          <wp:inline xmlns:a="http://schemas.openxmlformats.org/drawingml/2006/main" xmlns:pic="http://schemas.openxmlformats.org/drawingml/2006/picture">
            <wp:extent cx="3977639" cy="3460345"/>
            <wp:docPr id="5" name="Picture 5"/>
            <wp:cNvGraphicFramePr>
              <a:graphicFrameLocks noChangeAspect="1"/>
            </wp:cNvGraphicFramePr>
            <a:graphic>
              <a:graphicData uri="http://schemas.openxmlformats.org/drawingml/2006/picture">
                <pic:pic>
                  <pic:nvPicPr>
                    <pic:cNvPr id="0" name="programme-dashboard-charts.png"/>
                    <pic:cNvPicPr/>
                  </pic:nvPicPr>
                  <pic:blipFill>
                    <a:blip r:embed="rId15"/>
                    <a:stretch>
                      <a:fillRect/>
                    </a:stretch>
                  </pic:blipFill>
                  <pic:spPr>
                    <a:xfrm>
                      <a:off x="0" y="0"/>
                      <a:ext cx="3977639" cy="3460345"/>
                    </a:xfrm>
                    <a:prstGeom prst="rect"/>
                  </pic:spPr>
                </pic:pic>
              </a:graphicData>
            </a:graphic>
          </wp:inline>
        </w:drawing>
      </w:r>
    </w:p>
    <w:p>
      <w:pPr>
        <w:pStyle w:val="Small"/>
        <w:jc w:val="center"/>
      </w:pPr>
      <w:r>
        <w:t>Example executive dashboard visuals: compact status composition and evidence-completeness graphics.</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Portfolio total</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Approved projects/tasks in current filters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Scale of active delivery portfolio</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Check legacy inclusion and duplicate IDs</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Schedule</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On track, due, overdue and date exceptions</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Timing intervention</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Read baseline vs current dates</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Progress</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Completed, in progress, not started, unreported</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Delivery status</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Unreported is a control gap, not zero progress</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Assurance</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Evidence completeness and stale updates</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Confidence in reporting</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Ask owner for missing evidence</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Geography</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District, LLG, ward and community filters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Place-based coordination</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Unpinned tasks remain non-spatial</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Legacy tasking</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Optional checkbox / filter</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Compare inherited work with new workflow</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Legacy records may lack modern fields</w:t>
            </w:r>
          </w:p>
        </w:tc>
      </w:tr>
    </w:tbl>
    <w:p>
      <w:pPr>
        <w:spacing w:after="0"/>
      </w:pPr>
    </w:p>
    <w:p>
      <w:r>
        <w:br w:type="page"/>
      </w:r>
    </w:p>
    <w:p>
      <w:pPr>
        <w:pStyle w:val="Eyebrow"/>
      </w:pPr>
      <w:r>
        <w:t>MODULE 6 · FINANCE WORKFLOW</w:t>
      </w:r>
    </w:p>
    <w:p>
      <w:pPr>
        <w:pStyle w:val="Heading1"/>
      </w:pPr>
      <w:r>
        <w:t>Prepare and progress a payment request</w:t>
      </w:r>
    </w:p>
    <w:p>
      <w:r>
        <w:rPr>
          <w:color w:val="65736C"/>
          <w:sz w:val="22"/>
        </w:rPr>
        <w:t>The finance module enhances workflow and expenditure visibility while retaining only governed workflow, financial and file-verification metadata. Quotes and the generated PDF remain on the user’s device.</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Originator creates the PRF</w:t>
            </w:r>
          </w:p>
          <w:p>
            <w:pPr>
              <w:pStyle w:val="Small"/>
            </w:pPr>
            <w:r>
              <w:t>Select programme, project ID, budget line, location and payment metadata. Do not enter bank account or personal information.</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Reference the project</w:t>
            </w:r>
          </w:p>
          <w:p>
            <w:pPr>
              <w:pStyle w:val="Small"/>
            </w:pPr>
            <w:r>
              <w:t>Use the timestamp-based WPGIS project ID so the expenditure links to the approved delivery record.</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Attach locally / record metadata</w:t>
            </w:r>
          </w:p>
          <w:p>
            <w:pPr>
              <w:pStyle w:val="Small"/>
            </w:pPr>
            <w:r>
              <w:t>Select quotes or supporting files. The application records verification metadata such as name and hash; file contents are not retained in D1.</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Route to reviewer</w:t>
            </w:r>
          </w:p>
          <w:p>
            <w:pPr>
              <w:pStyle w:val="Small"/>
            </w:pPr>
            <w:r>
              <w:t>The reviewer checks completeness, eligibility, budget reference and evidence.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Route to endorsement</w:t>
            </w:r>
          </w:p>
          <w:p>
            <w:pPr>
              <w:pStyle w:val="Small"/>
            </w:pPr>
            <w:r>
              <w:t>The endorser confirms programme and operational justification.</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06</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Final approval</w:t>
            </w:r>
          </w:p>
          <w:p>
            <w:pPr>
              <w:pStyle w:val="Small"/>
            </w:pPr>
            <w:r>
              <w:t>The delegated approver approves or returns the request. All in-flight stages can return it to the originator with reasons.</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07</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Export and send</w:t>
            </w:r>
          </w:p>
          <w:p>
            <w:pPr>
              <w:pStyle w:val="Small"/>
            </w:pPr>
            <w:r>
              <w:t>Generate the PDF locally, inspect it and send the package to Finance using the approved corporate email process.</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F7D23"/>
            <w:vAlign w:val="center"/>
            <w:tcMar>
              <w:top w:w="80" w:type="dxa"/>
              <w:start w:w="120" w:type="dxa"/>
              <w:bottom w:w="80" w:type="dxa"/>
              <w:end w:w="120" w:type="dxa"/>
            </w:tcMar>
            <w:tcBorders>
              <w:top w:val="single" w:sz="0" w:color="FFE8D6"/>
              <w:left w:val="single" w:sz="0" w:color="FFE8D6"/>
              <w:bottom w:val="single" w:sz="0" w:color="FFE8D6"/>
              <w:right w:val="single" w:sz="0" w:color="FFE8D6"/>
              <w:insideH w:val="single" w:sz="0" w:color="FFE8D6"/>
              <w:insideV w:val="single" w:sz="0" w:color="FFE8D6"/>
            </w:tcBorders>
          </w:tcPr>
          <w:p>
            <w:r/>
            <w:r>
              <w:rPr>
                <w:rFonts w:ascii="Calibri" w:hAnsi="Calibri"/>
                <w:b w:val="0"/>
                <w:color w:val="18241F"/>
                <w:sz w:val="2"/>
              </w:rPr>
            </w:r>
          </w:p>
        </w:tc>
        <w:tc>
          <w:tcPr>
            <w:tcW w:type="dxa" w:w="4997"/>
            <w:shd w:fill="FFE8D6"/>
            <w:tcBorders>
              <w:top w:val="single" w:sz="0" w:color="FFE8D6"/>
              <w:left w:val="single" w:sz="0" w:color="FFE8D6"/>
              <w:bottom w:val="single" w:sz="0" w:color="FFE8D6"/>
              <w:right w:val="single" w:sz="0" w:color="FFE8D6"/>
              <w:insideH w:val="single" w:sz="0" w:color="FFE8D6"/>
              <w:insideV w:val="single" w:sz="0" w:color="FFE8D6"/>
            </w:tcBorders>
          </w:tcPr>
          <w:p>
            <w:r/>
            <w:r>
              <w:rPr>
                <w:b/>
                <w:color w:val="123F34"/>
                <w:sz w:val="19"/>
              </w:rPr>
              <w:t xml:space="preserve">Control boundary  </w:t>
            </w:r>
            <w:r>
              <w:rPr>
                <w:color w:val="18241F"/>
                <w:sz w:val="18"/>
              </w:rPr>
              <w:t>The workflow supports visibility and traceability; it does not replace PNGSDP financial policy, budget control, procurement requirements, delegated authority or Finance review.</w:t>
            </w:r>
          </w:p>
        </w:tc>
      </w:tr>
    </w:tbl>
    <w:p>
      <w:pPr>
        <w:spacing w:after="0"/>
      </w:pPr>
    </w:p>
    <w:p>
      <w:pPr>
        <w:pStyle w:val="Heading2"/>
      </w:pPr>
      <w:r>
        <w:t>Expenditure map</w:t>
      </w:r>
    </w:p>
    <w:p>
      <w:pPr>
        <w:pStyle w:val="ListBullet"/>
      </w:pPr>
      <w:r>
        <w:t>Only approved expenditure with a governed location is eligible for the spatial view.</w:t>
      </w:r>
    </w:p>
    <w:p>
      <w:pPr>
        <w:pStyle w:val="ListBullet"/>
      </w:pPr>
      <w:r>
        <w:t>The heat map represents expenditure intensity, not project impact, asset performance or value for money.</w:t>
      </w:r>
    </w:p>
    <w:p>
      <w:pPr>
        <w:pStyle w:val="ListBullet"/>
      </w:pPr>
      <w:r>
        <w:t>Use programme, project, budget line, district, status and date filters before comparing values.</w:t>
      </w:r>
    </w:p>
    <w:p>
      <w:pPr>
        <w:pStyle w:val="ListBullet"/>
      </w:pPr>
      <w:r>
        <w:t>Unmapped expenditure must remain visible in non-spatial totals so it is not lost from reporting.</w:t>
      </w:r>
    </w:p>
    <w:p>
      <w:r>
        <w:br w:type="page"/>
      </w:r>
    </w:p>
    <w:p>
      <w:pPr>
        <w:pStyle w:val="Eyebrow"/>
      </w:pPr>
      <w:r>
        <w:t>MODULE 7 · ADMINISTRATION</w:t>
      </w:r>
    </w:p>
    <w:p>
      <w:pPr>
        <w:pStyle w:val="Heading1"/>
      </w:pPr>
      <w:r>
        <w:t>Maintain working records with an audit trail</w:t>
      </w:r>
    </w:p>
    <w:p>
      <w:r>
        <w:rPr>
          <w:color w:val="65736C"/>
          <w:sz w:val="22"/>
        </w:rPr>
        <w:t>Administration is separated from ordinary viewing. Access is restricted to the designated administrator policy; write operations capture the authenticated identity and append to the audit history.</w:t>
      </w:r>
    </w:p>
    <w:p>
      <w:pPr>
        <w:jc w:val="center"/>
      </w:pPr>
      <w:r>
        <w:drawing>
          <wp:inline xmlns:a="http://schemas.openxmlformats.org/drawingml/2006/main" xmlns:pic="http://schemas.openxmlformats.org/drawingml/2006/picture">
            <wp:extent cx="4343400" cy="2148888"/>
            <wp:docPr id="6" name="Picture 6"/>
            <wp:cNvGraphicFramePr>
              <a:graphicFrameLocks noChangeAspect="1"/>
            </wp:cNvGraphicFramePr>
            <a:graphic>
              <a:graphicData uri="http://schemas.openxmlformats.org/drawingml/2006/picture">
                <pic:pic>
                  <pic:nvPicPr>
                    <pic:cNvPr id="0" name="admin-dashboard-live.png"/>
                    <pic:cNvPicPr/>
                  </pic:nvPicPr>
                  <pic:blipFill>
                    <a:blip r:embed="rId16"/>
                    <a:stretch>
                      <a:fillRect/>
                    </a:stretch>
                  </pic:blipFill>
                  <pic:spPr>
                    <a:xfrm>
                      <a:off x="0" y="0"/>
                      <a:ext cx="4343400" cy="2148888"/>
                    </a:xfrm>
                    <a:prstGeom prst="rect"/>
                  </pic:spPr>
                </pic:pic>
              </a:graphicData>
            </a:graphic>
          </wp:inline>
        </w:drawing>
      </w:r>
    </w:p>
    <w:p>
      <w:pPr>
        <w:pStyle w:val="Small"/>
        <w:jc w:val="center"/>
      </w:pPr>
      <w:r>
        <w:t>Controlled administration dashboard: asset status, population, data quality and usage assurance.</w:t>
      </w:r>
    </w:p>
    <w:tbl>
      <w:tblPr>
        <w:tblW w:type="auto" w:w="0"/>
        <w:jc w:val="center"/>
        <w:tblLayout w:type="fixed"/>
        <w:tblLook w:firstColumn="1" w:firstRow="1" w:lastColumn="0" w:lastRow="0" w:noHBand="0" w:noVBand="1" w:val="04A0"/>
      </w:tblPr>
      <w:tblGrid>
        <w:gridCol w:w="691"/>
        <w:gridCol w:w="9029"/>
      </w:tblGrid>
      <w:tr>
        <w:tc>
          <w:tcPr>
            <w:tcW w:type="dxa" w:w="4997"/>
            <w:shd w:fill="EF7D23"/>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01</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Confirm authority and source</w:t>
            </w:r>
          </w:p>
          <w:p>
            <w:pPr>
              <w:pStyle w:val="Small"/>
            </w:pPr>
            <w:r>
              <w:t>Do not update a record because a map ‘looks wrong’. Obtain the approved source or field evidence.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02</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Find the exact record</w:t>
            </w:r>
          </w:p>
          <w:p>
            <w:pPr>
              <w:pStyle w:val="Small"/>
            </w:pPr>
            <w:r>
              <w:t>Search using stable asset ID, location, district/LLG/ward and record type.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03</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Review current values</w:t>
            </w:r>
          </w:p>
          <w:p>
            <w:pPr>
              <w:pStyle w:val="Small"/>
            </w:pPr>
            <w:r>
              <w:t>Check status, previous notes, coordinates, evidence date and audit history.</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04</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Append the update</w:t>
            </w:r>
          </w:p>
          <w:p>
            <w:pPr>
              <w:pStyle w:val="Small"/>
            </w:pPr>
            <w:r>
              <w:t>Choose the traffic-light status, add evidence/inspection notes and save through the controlled endpoint.</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05</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Validate downstream display</w:t>
            </w:r>
          </w:p>
          <w:p>
            <w:pPr>
              <w:pStyle w:val="Small"/>
            </w:pPr>
            <w:r>
              <w:t>Refresh the relevant dashboard and map layer; confirm that counts and status composition reconcile.</w:t>
            </w:r>
          </w:p>
        </w:tc>
      </w:tr>
      <w:t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pPr>
              <w:jc w:val="center"/>
            </w:pPr>
            <w:r/>
            <w:r>
              <w:rPr>
                <w:rFonts w:ascii="Calibri" w:hAnsi="Calibri"/>
                <w:b/>
                <w:color w:val="123F34"/>
                <w:sz w:val="18"/>
              </w:rPr>
              <w:t>06</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19"/>
              </w:rPr>
              <w:t>Retain source governance</w:t>
            </w:r>
          </w:p>
          <w:p>
            <w:pPr>
              <w:pStyle w:val="Small"/>
            </w:pPr>
            <w:r>
              <w:t>The original Access database, ArcGIS files and approved source artefacts remain separately controlled.</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C83D3D"/>
            <w:vAlign w:val="center"/>
            <w:tcMar>
              <w:top w:w="80" w:type="dxa"/>
              <w:start w:w="120" w:type="dxa"/>
              <w:bottom w:w="80" w:type="dxa"/>
              <w:end w:w="120" w:type="dxa"/>
            </w:tcMar>
            <w:tcBorders>
              <w:top w:val="single" w:sz="0" w:color="FBE5E5"/>
              <w:left w:val="single" w:sz="0" w:color="FBE5E5"/>
              <w:bottom w:val="single" w:sz="0" w:color="FBE5E5"/>
              <w:right w:val="single" w:sz="0" w:color="FBE5E5"/>
              <w:insideH w:val="single" w:sz="0" w:color="FBE5E5"/>
              <w:insideV w:val="single" w:sz="0" w:color="FBE5E5"/>
            </w:tcBorders>
          </w:tcPr>
          <w:p>
            <w:r/>
            <w:r>
              <w:rPr>
                <w:rFonts w:ascii="Calibri" w:hAnsi="Calibri"/>
                <w:b w:val="0"/>
                <w:color w:val="18241F"/>
                <w:sz w:val="2"/>
              </w:rPr>
            </w:r>
          </w:p>
        </w:tc>
        <w:tc>
          <w:tcPr>
            <w:tcW w:type="dxa" w:w="4997"/>
            <w:shd w:fill="FBE5E5"/>
            <w:tcBorders>
              <w:top w:val="single" w:sz="0" w:color="FBE5E5"/>
              <w:left w:val="single" w:sz="0" w:color="FBE5E5"/>
              <w:bottom w:val="single" w:sz="0" w:color="FBE5E5"/>
              <w:right w:val="single" w:sz="0" w:color="FBE5E5"/>
              <w:insideH w:val="single" w:sz="0" w:color="FBE5E5"/>
              <w:insideV w:val="single" w:sz="0" w:color="FBE5E5"/>
            </w:tcBorders>
          </w:tcPr>
          <w:p>
            <w:r/>
            <w:r>
              <w:rPr>
                <w:b/>
                <w:color w:val="123F34"/>
                <w:sz w:val="19"/>
              </w:rPr>
              <w:t xml:space="preserve">Coordinate control  </w:t>
            </w:r>
            <w:r>
              <w:rPr>
                <w:color w:val="18241F"/>
                <w:sz w:val="18"/>
              </w:rPr>
              <w:t>The administration dashboard does not move a feature or silently alter source coordinates. Coordinate changes require the governed GIS reconciliation workflow and approval.</w:t>
            </w:r>
          </w:p>
        </w:tc>
      </w:tr>
    </w:tbl>
    <w:p>
      <w:pPr>
        <w:spacing w:after="0"/>
      </w:pPr>
    </w:p>
    <w:p>
      <w:pPr>
        <w:pStyle w:val="Eyebrow"/>
      </w:pPr>
      <w:r>
        <w:t>DATA GOVERNANCE</w:t>
      </w:r>
    </w:p>
    <w:p>
      <w:pPr>
        <w:pStyle w:val="Heading1"/>
      </w:pPr>
      <w:r>
        <w:t>Protect evidence, privacy and trust</w:t>
      </w:r>
    </w:p>
    <w:p>
      <w:r>
        <w:rPr>
          <w:color w:val="65736C"/>
          <w:sz w:val="22"/>
        </w:rPr>
        <w:t>WPGIS is designed to visualise scattered operational data without turning the public-facing map into a repository of personal or property information.</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Source truth</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Access population database, ArcGIS layers, approved registers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Preserve original records and source dates</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Data owner / approved custodian</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Working copy</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Cloudflare D1 and optimised web layers</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Serve controlled operational views and updates</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Authenticated workflow and audit</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Display</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HTML, CSS, JavaScript, MapLibre/OpenStreetMap</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Visualise the governed working copy</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No embedded API secret or source database</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Interpretation</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Sibala Dalagi / approved API backend</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Explain governed evidence in context</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No invented coordinate, status or result</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File handling</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Quote/supporting-document metadata</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Trace file selection without storing contents</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Generated PDF remains on device</w:t>
            </w:r>
          </w:p>
        </w:tc>
      </w:tr>
    </w:tbl>
    <w:p>
      <w:pPr>
        <w:spacing w:after="0"/>
      </w:pPr>
    </w:p>
    <w:p>
      <w:pPr>
        <w:pStyle w:val="Heading2"/>
      </w:pPr>
      <w:r>
        <w:t>Do not enter or upload</w:t>
      </w:r>
    </w:p>
    <w:p>
      <w:pPr>
        <w:pStyle w:val="ListBullet"/>
      </w:pPr>
      <w:r>
        <w:t>Bank account numbers, payroll data, passwords, PINs, API keys or authentication tokens.</w:t>
      </w:r>
    </w:p>
    <w:p>
      <w:pPr>
        <w:pStyle w:val="ListBullet"/>
      </w:pPr>
      <w:r>
        <w:t>Personal medical, disciplinary, beneficiary or household-identifying information.</w:t>
      </w:r>
    </w:p>
    <w:p>
      <w:pPr>
        <w:pStyle w:val="ListBullet"/>
      </w:pPr>
      <w:r>
        <w:t>Property ownership records or sensitive landowner detail unless a separately approved system and policy exists.</w:t>
      </w:r>
    </w:p>
    <w:p>
      <w:pPr>
        <w:pStyle w:val="ListBullet"/>
      </w:pPr>
      <w:r>
        <w:t>Unverified coordinates, rumours or planned assets represented as operational facts.</w:t>
      </w:r>
    </w:p>
    <w:p>
      <w:pPr>
        <w:pStyle w:val="ListBullet"/>
      </w:pPr>
      <w:r>
        <w:t>Commercially sensitive documents into free-text fields or public map popups.</w:t>
      </w: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No company-data clause  </w:t>
            </w:r>
            <w:r>
              <w:rPr>
                <w:color w:val="18241F"/>
                <w:sz w:val="18"/>
              </w:rPr>
              <w:t>Use only information approved for this application. The training examples must be non-sensitive and should not reproduce confidential corporate, personal or property records.</w:t>
            </w:r>
          </w:p>
        </w:tc>
      </w:tr>
    </w:tbl>
    <w:p>
      <w:pPr>
        <w:spacing w:after="0"/>
      </w:pPr>
    </w:p>
    <w:p>
      <w:r>
        <w:br w:type="page"/>
      </w:r>
    </w:p>
    <w:p>
      <w:pPr>
        <w:pStyle w:val="Eyebrow"/>
      </w:pPr>
      <w:r>
        <w:t>FACILITATOR PLAN</w:t>
      </w:r>
    </w:p>
    <w:p>
      <w:pPr>
        <w:pStyle w:val="Heading1"/>
      </w:pPr>
      <w:r>
        <w:t>Recommended 3.5-hour session</w:t>
      </w:r>
    </w:p>
    <w:p>
      <w:r>
        <w:rPr>
          <w:color w:val="65736C"/>
          <w:sz w:val="22"/>
        </w:rPr>
        <w:t>The facilitator should demonstrate the production interface using approved examples, then let participants complete role-relevant practice tasks. Do not expose administrative or finance information to participants without the matching role.</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00:00–00:20</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Purpose, module map, security and evidence rules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1–5</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All participants</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00:20–01:05</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Access Atlas and Sibala demonstration</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6–8 + Exercise 1/2</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All participants</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01:05–01:35</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Intelligence Hub and decision brief</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9–10</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Leadership / analysts</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01:35–02:05</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Maintenance assurance</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10–11 + Exercise 3</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Operations / DLOs</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02:05–02:50</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Project workflow and CEO monitoring</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12–15 + Exercise 4</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Project teams / managers</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02:50–03:20</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Finance workflow and controls</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16–18 + Exercise 5</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Originators / reviewers</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03:20–03:30</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Knowledge check and commitments</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Slides 19–20</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All participants</w:t>
            </w:r>
          </w:p>
        </w:tc>
      </w:tr>
    </w:tbl>
    <w:p>
      <w:pPr>
        <w:spacing w:after="0"/>
      </w:pPr>
    </w:p>
    <w:p>
      <w:pPr>
        <w:pStyle w:val="Heading2"/>
      </w:pPr>
      <w:r>
        <w:t>Facilitator preparation checklist</w:t>
      </w:r>
    </w:p>
    <w:p>
      <w:pPr>
        <w:pStyle w:val="ListBullet"/>
      </w:pPr>
      <w:r>
        <w:t>Confirm the training room, browser, display, internet connection and authorised email access.</w:t>
      </w:r>
    </w:p>
    <w:p>
      <w:pPr>
        <w:pStyle w:val="ListBullet"/>
      </w:pPr>
      <w:r>
        <w:t>Test wpgis.org, the Training Centre and each module needed for the audience.</w:t>
      </w:r>
    </w:p>
    <w:p>
      <w:pPr>
        <w:pStyle w:val="ListBullet"/>
      </w:pPr>
      <w:r>
        <w:t>Prepare non-sensitive example locations, assets, projects and PRF data.</w:t>
      </w:r>
    </w:p>
    <w:p>
      <w:pPr>
        <w:pStyle w:val="ListBullet"/>
      </w:pPr>
      <w:r>
        <w:t>Confirm which participants have programme, manager, finance or administrator privileges.</w:t>
      </w:r>
    </w:p>
    <w:p>
      <w:pPr>
        <w:pStyle w:val="ListBullet"/>
      </w:pPr>
      <w:r>
        <w:t>Print or distribute the one-page quick start and knowledge check.</w:t>
      </w:r>
    </w:p>
    <w:p>
      <w:pPr>
        <w:pStyle w:val="ListBullet"/>
      </w:pPr>
      <w:r>
        <w:t>Have an offline copy of the presentation and workpack in case the live service is unavailable.</w:t>
      </w:r>
    </w:p>
    <w:p>
      <w:r>
        <w:br w:type="page"/>
      </w:r>
    </w:p>
    <w:p>
      <w:pPr>
        <w:pStyle w:val="Eyebrow"/>
      </w:pPr>
      <w:r>
        <w:t>PRACTICE SCENARIO</w:t>
      </w:r>
    </w:p>
    <w:p>
      <w:pPr>
        <w:pStyle w:val="Heading1"/>
      </w:pPr>
      <w:r>
        <w:t>Exercise 1 · Scope and map reading</w:t>
      </w:r>
    </w:p>
    <w:p>
      <w:r>
        <w:rPr>
          <w:color w:val="65736C"/>
          <w:sz w:val="22"/>
        </w:rPr>
        <w:t>Filter to one district and LLG. Turn on communities and one infrastructure layer. Record: visible community count, mapped population, one asset status, source/evidence note, and one limitation.</w:t>
      </w:r>
    </w:p>
    <w:p>
      <w:pPr>
        <w:pStyle w:val="Heading2"/>
      </w:pPr>
      <w:r>
        <w:t>Participant record</w:t>
      </w:r>
    </w:p>
    <w:tbl>
      <w:tblPr>
        <w:tblW w:type="auto" w:w="0"/>
        <w:jc w:val="center"/>
        <w:tblLayout w:type="fixed"/>
        <w:tblLook w:firstColumn="1" w:firstRow="1" w:lastColumn="0" w:lastRow="0" w:noHBand="0" w:noVBand="1" w:val="04A0"/>
      </w:tblPr>
      <w:tblGrid>
        <w:gridCol w:w="2232"/>
        <w:gridCol w:w="7488"/>
      </w:tblGrid>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Name / role</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Scope used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Actions completed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Evidence checked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Result</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Limitation / escalation</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bl>
    <w:p>
      <w:pPr>
        <w:pStyle w:val="Heading2"/>
      </w:pPr>
      <w:r>
        <w:t>Completion standard</w:t>
      </w:r>
    </w:p>
    <w:p>
      <w:pPr>
        <w:pStyle w:val="ListBullet"/>
      </w:pPr>
      <w:r>
        <w:t>The participant uses the correct filter scope and does not quote a global total as a local result.</w:t>
      </w:r>
    </w:p>
    <w:p>
      <w:pPr>
        <w:pStyle w:val="ListBullet"/>
      </w:pPr>
      <w:r>
        <w:t>The result includes source/evidence status and a meaningful limitation.</w:t>
      </w:r>
    </w:p>
    <w:p>
      <w:pPr>
        <w:pStyle w:val="ListBullet"/>
      </w:pPr>
      <w:r>
        <w:t>No sensitive or personally identifying data is entered.</w:t>
      </w:r>
    </w:p>
    <w:p>
      <w:pPr>
        <w:pStyle w:val="ListBullet"/>
      </w:pPr>
      <w:r>
        <w:t>Any action is recorded through the correct workflow and approval route.</w:t>
      </w:r>
    </w:p>
    <w:p>
      <w:r>
        <w:br w:type="page"/>
      </w:r>
    </w:p>
    <w:p>
      <w:pPr>
        <w:pStyle w:val="Eyebrow"/>
      </w:pPr>
      <w:r>
        <w:t>PRACTICE SCENARIO</w:t>
      </w:r>
    </w:p>
    <w:p>
      <w:pPr>
        <w:pStyle w:val="Heading1"/>
      </w:pPr>
      <w:r>
        <w:t>Exercise 2 · Ask and verify</w:t>
      </w:r>
    </w:p>
    <w:p>
      <w:r>
        <w:rPr>
          <w:color w:val="65736C"/>
          <w:sz w:val="22"/>
        </w:rPr>
        <w:t>Ask Sibala for the nearest mapped airstrip or wharf to an approved example community. Verify the result on the map and explain why straight-line proximity is not a travel plan.</w:t>
      </w:r>
    </w:p>
    <w:p>
      <w:pPr>
        <w:pStyle w:val="Heading2"/>
      </w:pPr>
      <w:r>
        <w:t>Participant record</w:t>
      </w:r>
    </w:p>
    <w:tbl>
      <w:tblPr>
        <w:tblW w:type="auto" w:w="0"/>
        <w:jc w:val="center"/>
        <w:tblLayout w:type="fixed"/>
        <w:tblLook w:firstColumn="1" w:firstRow="1" w:lastColumn="0" w:lastRow="0" w:noHBand="0" w:noVBand="1" w:val="04A0"/>
      </w:tblPr>
      <w:tblGrid>
        <w:gridCol w:w="2232"/>
        <w:gridCol w:w="7488"/>
      </w:tblGrid>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Name / role</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Scope used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Actions completed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Evidence checked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Result</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Limitation / escalation</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bl>
    <w:p>
      <w:pPr>
        <w:pStyle w:val="Heading2"/>
      </w:pPr>
      <w:r>
        <w:t>Completion standard</w:t>
      </w:r>
    </w:p>
    <w:p>
      <w:pPr>
        <w:pStyle w:val="ListBullet"/>
      </w:pPr>
      <w:r>
        <w:t>The participant uses the correct filter scope and does not quote a global total as a local result.</w:t>
      </w:r>
    </w:p>
    <w:p>
      <w:pPr>
        <w:pStyle w:val="ListBullet"/>
      </w:pPr>
      <w:r>
        <w:t>The result includes source/evidence status and a meaningful limitation.</w:t>
      </w:r>
    </w:p>
    <w:p>
      <w:pPr>
        <w:pStyle w:val="ListBullet"/>
      </w:pPr>
      <w:r>
        <w:t>No sensitive or personally identifying data is entered.</w:t>
      </w:r>
    </w:p>
    <w:p>
      <w:pPr>
        <w:pStyle w:val="ListBullet"/>
      </w:pPr>
      <w:r>
        <w:t>Any action is recorded through the correct workflow and approval route.</w:t>
      </w:r>
    </w:p>
    <w:p>
      <w:r>
        <w:br w:type="page"/>
      </w:r>
    </w:p>
    <w:p>
      <w:pPr>
        <w:pStyle w:val="Eyebrow"/>
      </w:pPr>
      <w:r>
        <w:t>PRACTICE SCENARIO</w:t>
      </w:r>
    </w:p>
    <w:p>
      <w:pPr>
        <w:pStyle w:val="Heading1"/>
      </w:pPr>
      <w:r>
        <w:t>Exercise 3 · Maintenance assurance</w:t>
      </w:r>
    </w:p>
    <w:p>
      <w:r>
        <w:rPr>
          <w:color w:val="65736C"/>
          <w:sz w:val="22"/>
        </w:rPr>
        <w:t>Open one asset class, filter to a district, identify the highest-priority record with incomplete evidence, and draft the operational follow-up and responsible role.</w:t>
      </w:r>
    </w:p>
    <w:p>
      <w:pPr>
        <w:pStyle w:val="Heading2"/>
      </w:pPr>
      <w:r>
        <w:t>Participant record</w:t>
      </w:r>
    </w:p>
    <w:tbl>
      <w:tblPr>
        <w:tblW w:type="auto" w:w="0"/>
        <w:jc w:val="center"/>
        <w:tblLayout w:type="fixed"/>
        <w:tblLook w:firstColumn="1" w:firstRow="1" w:lastColumn="0" w:lastRow="0" w:noHBand="0" w:noVBand="1" w:val="04A0"/>
      </w:tblPr>
      <w:tblGrid>
        <w:gridCol w:w="2232"/>
        <w:gridCol w:w="7488"/>
      </w:tblGrid>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Name / role</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Scope used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Actions completed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Evidence checked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Result</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Limitation / escalation</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bl>
    <w:p>
      <w:pPr>
        <w:pStyle w:val="Heading2"/>
      </w:pPr>
      <w:r>
        <w:t>Completion standard</w:t>
      </w:r>
    </w:p>
    <w:p>
      <w:pPr>
        <w:pStyle w:val="ListBullet"/>
      </w:pPr>
      <w:r>
        <w:t>The participant uses the correct filter scope and does not quote a global total as a local result.</w:t>
      </w:r>
    </w:p>
    <w:p>
      <w:pPr>
        <w:pStyle w:val="ListBullet"/>
      </w:pPr>
      <w:r>
        <w:t>The result includes source/evidence status and a meaningful limitation.</w:t>
      </w:r>
    </w:p>
    <w:p>
      <w:pPr>
        <w:pStyle w:val="ListBullet"/>
      </w:pPr>
      <w:r>
        <w:t>No sensitive or personally identifying data is entered.</w:t>
      </w:r>
    </w:p>
    <w:p>
      <w:pPr>
        <w:pStyle w:val="ListBullet"/>
      </w:pPr>
      <w:r>
        <w:t>Any action is recorded through the correct workflow and approval route.</w:t>
      </w:r>
    </w:p>
    <w:p>
      <w:r>
        <w:br w:type="page"/>
      </w:r>
    </w:p>
    <w:p>
      <w:pPr>
        <w:pStyle w:val="Eyebrow"/>
      </w:pPr>
      <w:r>
        <w:t>PRACTICE SCENARIO</w:t>
      </w:r>
    </w:p>
    <w:p>
      <w:pPr>
        <w:pStyle w:val="Heading1"/>
      </w:pPr>
      <w:r>
        <w:t>Exercise 4 · Project workflow</w:t>
      </w:r>
    </w:p>
    <w:p>
      <w:r>
        <w:rPr>
          <w:color w:val="65736C"/>
          <w:sz w:val="22"/>
        </w:rPr>
        <w:t>Create a training project with a timestamp ID, owner, manager, project dates and at least five plan segments. Submit, return one item for change, resubmit and approve for CEO monitoring.</w:t>
      </w:r>
    </w:p>
    <w:p>
      <w:pPr>
        <w:pStyle w:val="Heading2"/>
      </w:pPr>
      <w:r>
        <w:t>Participant record</w:t>
      </w:r>
    </w:p>
    <w:tbl>
      <w:tblPr>
        <w:tblW w:type="auto" w:w="0"/>
        <w:jc w:val="center"/>
        <w:tblLayout w:type="fixed"/>
        <w:tblLook w:firstColumn="1" w:firstRow="1" w:lastColumn="0" w:lastRow="0" w:noHBand="0" w:noVBand="1" w:val="04A0"/>
      </w:tblPr>
      <w:tblGrid>
        <w:gridCol w:w="2232"/>
        <w:gridCol w:w="7488"/>
      </w:tblGrid>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Name / role</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Scope used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Actions completed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Evidence checked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Result</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Limitation / escalation</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bl>
    <w:p>
      <w:pPr>
        <w:pStyle w:val="Heading2"/>
      </w:pPr>
      <w:r>
        <w:t>Completion standard</w:t>
      </w:r>
    </w:p>
    <w:p>
      <w:pPr>
        <w:pStyle w:val="ListBullet"/>
      </w:pPr>
      <w:r>
        <w:t>The participant uses the correct filter scope and does not quote a global total as a local result.</w:t>
      </w:r>
    </w:p>
    <w:p>
      <w:pPr>
        <w:pStyle w:val="ListBullet"/>
      </w:pPr>
      <w:r>
        <w:t>The result includes source/evidence status and a meaningful limitation.</w:t>
      </w:r>
    </w:p>
    <w:p>
      <w:pPr>
        <w:pStyle w:val="ListBullet"/>
      </w:pPr>
      <w:r>
        <w:t>No sensitive or personally identifying data is entered.</w:t>
      </w:r>
    </w:p>
    <w:p>
      <w:pPr>
        <w:pStyle w:val="ListBullet"/>
      </w:pPr>
      <w:r>
        <w:t>Any action is recorded through the correct workflow and approval route.</w:t>
      </w:r>
    </w:p>
    <w:p>
      <w:r>
        <w:br w:type="page"/>
      </w:r>
    </w:p>
    <w:p>
      <w:pPr>
        <w:pStyle w:val="Eyebrow"/>
      </w:pPr>
      <w:r>
        <w:t>PRACTICE SCENARIO</w:t>
      </w:r>
    </w:p>
    <w:p>
      <w:pPr>
        <w:pStyle w:val="Heading1"/>
      </w:pPr>
      <w:r>
        <w:t>Exercise 5 · PRF workflow</w:t>
      </w:r>
    </w:p>
    <w:p>
      <w:r>
        <w:rPr>
          <w:color w:val="65736C"/>
          <w:sz w:val="22"/>
        </w:rPr>
        <w:t>Create a non-sensitive training PRF referencing the project ID, add budget/location metadata and a sample quote file, route through review/endorsement/approval, then generate and inspect the local PDF.</w:t>
      </w:r>
    </w:p>
    <w:p>
      <w:pPr>
        <w:pStyle w:val="Heading2"/>
      </w:pPr>
      <w:r>
        <w:t>Participant record</w:t>
      </w:r>
    </w:p>
    <w:tbl>
      <w:tblPr>
        <w:tblW w:type="auto" w:w="0"/>
        <w:jc w:val="center"/>
        <w:tblLayout w:type="fixed"/>
        <w:tblLook w:firstColumn="1" w:firstRow="1" w:lastColumn="0" w:lastRow="0" w:noHBand="0" w:noVBand="1" w:val="04A0"/>
      </w:tblPr>
      <w:tblGrid>
        <w:gridCol w:w="2232"/>
        <w:gridCol w:w="7488"/>
      </w:tblGrid>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Name / role</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792"/>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Scope used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Actions completed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Evidence checked</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Result</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r>
        <w:trPr>
          <w:trHeight w:val="1037"/>
        </w:trPr>
        <w:tc>
          <w:tcPr>
            <w:tcW w:type="dxa" w:w="4997"/>
            <w:shd w:fill="E8F0E8"/>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7"/>
              </w:rPr>
              <w:t>Limitation / escalation</w:t>
            </w:r>
          </w:p>
        </w:tc>
        <w:tc>
          <w:tcPr>
            <w:tcW w:type="dxa" w:w="4997"/>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8"/>
              </w:rPr>
            </w:r>
          </w:p>
        </w:tc>
      </w:tr>
    </w:tbl>
    <w:p>
      <w:pPr>
        <w:pStyle w:val="Heading2"/>
      </w:pPr>
      <w:r>
        <w:t>Completion standard</w:t>
      </w:r>
    </w:p>
    <w:p>
      <w:pPr>
        <w:pStyle w:val="ListBullet"/>
      </w:pPr>
      <w:r>
        <w:t>The participant uses the correct filter scope and does not quote a global total as a local result.</w:t>
      </w:r>
    </w:p>
    <w:p>
      <w:pPr>
        <w:pStyle w:val="ListBullet"/>
      </w:pPr>
      <w:r>
        <w:t>The result includes source/evidence status and a meaningful limitation.</w:t>
      </w:r>
    </w:p>
    <w:p>
      <w:pPr>
        <w:pStyle w:val="ListBullet"/>
      </w:pPr>
      <w:r>
        <w:t>No sensitive or personally identifying data is entered.</w:t>
      </w:r>
    </w:p>
    <w:p>
      <w:pPr>
        <w:pStyle w:val="ListBullet"/>
      </w:pPr>
      <w:r>
        <w:t>Any action is recorded through the correct workflow and approval route.</w:t>
      </w:r>
    </w:p>
    <w:p>
      <w:r>
        <w:br w:type="page"/>
      </w:r>
    </w:p>
    <w:p>
      <w:pPr>
        <w:pStyle w:val="Eyebrow"/>
      </w:pPr>
      <w:r>
        <w:t>KNOWLEDGE CHECK</w:t>
      </w:r>
    </w:p>
    <w:p>
      <w:pPr>
        <w:pStyle w:val="Heading1"/>
      </w:pPr>
      <w:r>
        <w:t>Test understanding</w:t>
      </w:r>
    </w:p>
    <w:p>
      <w:r>
        <w:rPr>
          <w:color w:val="65736C"/>
          <w:sz w:val="22"/>
        </w:rPr>
        <w:t>Complete the ten questions before independent use. A recommended pass mark is 80%; incorrect responses should be reviewed with the facilitator.</w:t>
      </w:r>
    </w:p>
    <w:p>
      <w:r>
        <w:rPr>
          <w:b/>
          <w:color w:val="123F34"/>
        </w:rPr>
        <w:t>01  What four items should accompany any quoted number from WPGIS?</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02  Does a mapped asset prove it is functional? Explain.</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03  What does the 3 km borewell population estimate represent?</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04  What should Sibala do when a coordinate or source is missing?</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05  When does a new project enter the CEO monitoring dashboard?</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06  How many plan segments may a project owner create in the current workflow?</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07  What is the purpose of the timestamp-based project ID?</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08  Where are quote contents and the generated PRF PDF stored?</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09  Who may use the Administration module?</w:t>
      </w:r>
    </w:p>
    <w:p>
      <w:pPr>
        <w:pStyle w:val="Small"/>
      </w:pPr>
      <w:r>
        <w:t>________________________________________________________________________________</w:t>
      </w:r>
    </w:p>
    <w:p>
      <w:pPr>
        <w:pStyle w:val="Small"/>
      </w:pPr>
      <w:r>
        <w:t>________________________________________________________________________________</w:t>
      </w:r>
    </w:p>
    <w:p>
      <w:r>
        <w:rPr>
          <w:b/>
          <w:color w:val="123F34"/>
        </w:rPr>
        <w:t>10  Name three categories of information that must not be entered into WPGIS free-text fields.</w:t>
      </w:r>
    </w:p>
    <w:p>
      <w:pPr>
        <w:pStyle w:val="Small"/>
      </w:pPr>
      <w:r>
        <w:t>________________________________________________________________________________</w:t>
      </w:r>
    </w:p>
    <w:p>
      <w:pPr>
        <w:pStyle w:val="Small"/>
      </w:pPr>
      <w:r>
        <w:t>________________________________________________________________________________</w:t>
      </w:r>
    </w:p>
    <w:p>
      <w:r>
        <w:br w:type="page"/>
      </w:r>
    </w:p>
    <w:p>
      <w:pPr>
        <w:pStyle w:val="Eyebrow"/>
      </w:pPr>
      <w:r>
        <w:t>KNOWLEDGE CHECK</w:t>
      </w:r>
    </w:p>
    <w:p>
      <w:pPr>
        <w:pStyle w:val="Heading1"/>
      </w:pPr>
      <w:r>
        <w:t>Facilitator answer guide</w:t>
      </w:r>
    </w:p>
    <w:p>
      <w:pPr>
        <w:pStyle w:val="ListNumber"/>
      </w:pPr>
      <w:r>
        <w:t>Scope, source, evidence/reference date and known limitation.</w:t>
      </w:r>
    </w:p>
    <w:p>
      <w:pPr>
        <w:pStyle w:val="ListNumber"/>
      </w:pPr>
      <w:r>
        <w:t>No. The status and current evidence must explicitly support functionality.</w:t>
      </w:r>
    </w:p>
    <w:p>
      <w:pPr>
        <w:pStyle w:val="ListNumber"/>
      </w:pPr>
      <w:r>
        <w:t>A straight-line planning estimate for mapped communities only; it excludes unpinned population and is not a household service survey.</w:t>
      </w:r>
    </w:p>
    <w:p>
      <w:pPr>
        <w:pStyle w:val="ListNumber"/>
      </w:pPr>
      <w:r>
        <w:t>State that the evidence is unavailable and request an authorised source or field verification; never invent it.</w:t>
      </w:r>
    </w:p>
    <w:p>
      <w:pPr>
        <w:pStyle w:val="ListNumber"/>
      </w:pPr>
      <w:r>
        <w:t>After the manager approves the plan and CEO monitoring was selected/authorised.</w:t>
      </w:r>
    </w:p>
    <w:p>
      <w:pPr>
        <w:pStyle w:val="ListNumber"/>
      </w:pPr>
      <w:r>
        <w:t>Up to 20 segments.</w:t>
      </w:r>
    </w:p>
    <w:p>
      <w:pPr>
        <w:pStyle w:val="ListNumber"/>
      </w:pPr>
      <w:r>
        <w:t>It is the stable cross-reference for project workflow, evidence, correspondence and related PRFs.</w:t>
      </w:r>
    </w:p>
    <w:p>
      <w:pPr>
        <w:pStyle w:val="ListNumber"/>
      </w:pPr>
      <w:r>
        <w:t>The selected source files and generated PDF remain on the user’s device; D1 retains workflow/financial/file-verification metadata only.</w:t>
      </w:r>
    </w:p>
    <w:p>
      <w:pPr>
        <w:pStyle w:val="ListNumber"/>
      </w:pPr>
      <w:r>
        <w:t>Only the account(s) permitted by the separate administrator Access policy.</w:t>
      </w:r>
    </w:p>
    <w:p>
      <w:pPr>
        <w:pStyle w:val="ListNumber"/>
      </w:pPr>
      <w:r>
        <w:t>Examples: bank/payroll data; personal medical or beneficiary detail; passwords/PINs/API keys; property ownership data; sensitive documents.</w:t>
      </w: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Recommended pass mark  </w:t>
            </w:r>
            <w:r>
              <w:rPr>
                <w:color w:val="18241F"/>
                <w:sz w:val="18"/>
              </w:rPr>
              <w:t>8 out of 10. Participants handling finance or administration should also complete a supervised workflow demonstration.</w:t>
            </w:r>
          </w:p>
        </w:tc>
      </w:tr>
    </w:tbl>
    <w:p>
      <w:pPr>
        <w:spacing w:after="0"/>
      </w:pPr>
    </w:p>
    <w:p>
      <w:r>
        <w:br w:type="page"/>
      </w:r>
    </w:p>
    <w:p>
      <w:pPr>
        <w:pStyle w:val="Eyebrow"/>
      </w:pPr>
      <w:r>
        <w:t>DESK PROCEDURES</w:t>
      </w:r>
    </w:p>
    <w:p>
      <w:pPr>
        <w:pStyle w:val="Heading1"/>
      </w:pPr>
      <w:r>
        <w:t>Daily operating checklists</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Before using a dashboard</w:t>
            </w:r>
          </w:p>
          <w:p>
            <w:pPr>
              <w:pStyle w:val="Small"/>
            </w:pPr>
            <w:r>
              <w:t>Confirm login identity, reporting purpose, module, scope filters, data date and source status.</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Before quoting a figure</w:t>
            </w:r>
          </w:p>
          <w:p>
            <w:pPr>
              <w:pStyle w:val="Small"/>
            </w:pPr>
            <w:r>
              <w:t>Capture scope, source, date, mapped/unmapped condition and caveat. Recheck after changing filters.</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Before changing a record</w:t>
            </w:r>
          </w:p>
          <w:p>
            <w:pPr>
              <w:pStyle w:val="Small"/>
            </w:pPr>
            <w:r>
              <w:t>Confirm authority, stable ID, approved evidence, current values, reason and downstream validation plan.</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Before approving a project</w:t>
            </w:r>
          </w:p>
          <w:p>
            <w:pPr>
              <w:pStyle w:val="Small"/>
            </w:pPr>
            <w:r>
              <w:t>Check ownership, dates, segment sequence, deliverables, evidence expectations, dependencies and change history.</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Before approving a PRF</w:t>
            </w:r>
          </w:p>
          <w:p>
            <w:pPr>
              <w:pStyle w:val="Small"/>
            </w:pPr>
            <w:r>
              <w:t>Check project ID, programme/budget line, amount, supporting-file verification, previous stage comments and delegated authority.</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Before distributing a brief</w:t>
            </w:r>
          </w:p>
          <w:p>
            <w:pPr>
              <w:pStyle w:val="Small"/>
            </w:pPr>
            <w:r>
              <w:t>Check filters, timestamp, confidentiality, missing evidence, responsible action and whether the recipient has authorised access.</w:t>
            </w:r>
          </w:p>
        </w:tc>
      </w:tr>
    </w:tbl>
    <w:p>
      <w:pPr>
        <w:pStyle w:val="Heading2"/>
      </w:pPr>
      <w:r>
        <w:t>Escalate immediately when</w:t>
      </w:r>
    </w:p>
    <w:p>
      <w:pPr>
        <w:pStyle w:val="ListBullet"/>
      </w:pPr>
      <w:r>
        <w:t>A personal, banking, payroll, medical, property or credential value appears in the application.</w:t>
      </w:r>
    </w:p>
    <w:p>
      <w:pPr>
        <w:pStyle w:val="ListBullet"/>
      </w:pPr>
      <w:r>
        <w:t>An unauthorised user can reach a restricted path, update data or view role-scoped information.</w:t>
      </w:r>
    </w:p>
    <w:p>
      <w:pPr>
        <w:pStyle w:val="ListBullet"/>
      </w:pPr>
      <w:r>
        <w:t>A planned asset is represented as operational or a critical coordinate appears materially wrong.</w:t>
      </w:r>
    </w:p>
    <w:p>
      <w:pPr>
        <w:pStyle w:val="ListBullet"/>
      </w:pPr>
      <w:r>
        <w:t>A project/PRF approval history is missing, overwritten or inconsistent with the current stage.</w:t>
      </w:r>
    </w:p>
    <w:p>
      <w:pPr>
        <w:pStyle w:val="ListBullet"/>
      </w:pPr>
      <w:r>
        <w:t>The map, dashboard and approved source cannot be reconciled after controlled checks.</w:t>
      </w:r>
    </w:p>
    <w:p>
      <w:r>
        <w:br w:type="page"/>
      </w:r>
    </w:p>
    <w:p>
      <w:pPr>
        <w:pStyle w:val="Eyebrow"/>
      </w:pPr>
      <w:r>
        <w:t>TROUBLESHOOTING</w:t>
      </w:r>
    </w:p>
    <w:p>
      <w:pPr>
        <w:pStyle w:val="Heading1"/>
      </w:pPr>
      <w:r>
        <w:t>Resolve common issues without bypassing controls</w:t>
      </w:r>
    </w:p>
    <w:tbl>
      <w:tblPr>
        <w:tblW w:type="auto" w:w="0"/>
        <w:jc w:val="center"/>
        <w:tblLayout w:type="fixed"/>
        <w:tblLook w:firstColumn="1" w:firstRow="1" w:lastColumn="0" w:lastRow="0" w:noHBand="0" w:noVBand="1" w:val="04A0"/>
      </w:tblPr>
      <w:tblGrid>
        <w:gridCol w:w="1944"/>
        <w:gridCol w:w="2592"/>
        <w:gridCol w:w="2520"/>
        <w:gridCol w:w="2664"/>
      </w:tblGrid>
      <w:tr>
        <w:trPr>
          <w:tblHeader w:val="true"/>
        </w:trPr>
        <w:tc>
          <w:tcPr>
            <w:tcW w:type="dxa" w:w="2498"/>
            <w:shd w:fill="123F34"/>
            <w:vAlign w:val="center"/>
            <w:tcMar>
              <w:top w:w="80" w:type="dxa"/>
              <w:start w:w="120" w:type="dxa"/>
              <w:bottom w:w="80" w:type="dxa"/>
              <w:end w:w="120" w:type="dxa"/>
            </w:tcMar>
          </w:tcPr>
          <w:p>
            <w:r/>
            <w:r>
              <w:rPr>
                <w:rFonts w:ascii="Calibri" w:hAnsi="Calibri"/>
                <w:b/>
                <w:color w:val="FFFFFF"/>
                <w:sz w:val="16"/>
              </w:rPr>
              <w:t>ROLE</w:t>
            </w:r>
          </w:p>
        </w:tc>
        <w:tc>
          <w:tcPr>
            <w:tcW w:type="dxa" w:w="2498"/>
            <w:shd w:fill="123F34"/>
            <w:vAlign w:val="center"/>
            <w:tcMar>
              <w:top w:w="80" w:type="dxa"/>
              <w:start w:w="120" w:type="dxa"/>
              <w:bottom w:w="80" w:type="dxa"/>
              <w:end w:w="120" w:type="dxa"/>
            </w:tcMar>
          </w:tcPr>
          <w:p>
            <w:r/>
            <w:r>
              <w:rPr>
                <w:rFonts w:ascii="Calibri" w:hAnsi="Calibri"/>
                <w:b/>
                <w:color w:val="FFFFFF"/>
                <w:sz w:val="16"/>
              </w:rPr>
              <w:t>PRIMARY PURPOSE</w:t>
            </w:r>
          </w:p>
        </w:tc>
        <w:tc>
          <w:tcPr>
            <w:tcW w:type="dxa" w:w="2498"/>
            <w:shd w:fill="123F34"/>
            <w:vAlign w:val="center"/>
            <w:tcMar>
              <w:top w:w="80" w:type="dxa"/>
              <w:start w:w="120" w:type="dxa"/>
              <w:bottom w:w="80" w:type="dxa"/>
              <w:end w:w="120" w:type="dxa"/>
            </w:tcMar>
          </w:tcPr>
          <w:p>
            <w:r/>
            <w:r>
              <w:rPr>
                <w:rFonts w:ascii="Calibri" w:hAnsi="Calibri"/>
                <w:b/>
                <w:color w:val="FFFFFF"/>
                <w:sz w:val="16"/>
              </w:rPr>
              <w:t>TYPICAL ACCESS</w:t>
            </w:r>
          </w:p>
        </w:tc>
        <w:tc>
          <w:tcPr>
            <w:tcW w:type="dxa" w:w="2498"/>
            <w:shd w:fill="123F34"/>
            <w:vAlign w:val="center"/>
            <w:tcMar>
              <w:top w:w="80" w:type="dxa"/>
              <w:start w:w="120" w:type="dxa"/>
              <w:bottom w:w="80" w:type="dxa"/>
              <w:end w:w="120" w:type="dxa"/>
            </w:tcMar>
          </w:tcPr>
          <w:p>
            <w:r/>
            <w:r>
              <w:rPr>
                <w:rFonts w:ascii="Calibri" w:hAnsi="Calibri"/>
                <w:b/>
                <w:color w:val="FFFFFF"/>
                <w:sz w:val="16"/>
              </w:rPr>
              <w:t>ACCOUNTABILITY</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Map blank / tiles missing</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Connection or blocked tile resource</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Refresh once; confirm connection; try another approved browser</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Do not alter map data</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Module failed to fetch</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API route, Access session or temporary service issue</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Re-authenticate; record URL/time; contact support</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Do not expose tokens or payloads</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Wrong total</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Old filter, different scope or source mismatch</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Clear filters; restate scope; compare source note</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Do not manually force the total</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Sibala response weak</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Place ambiguity or missing local evidence</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Include district/LLG and evidence class; verify locally</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Use governed fallback</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Project cannot submit</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Missing owner, manager, dates or segment control</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Complete required fields and review validation message</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Keep draft until complete</w:t>
            </w:r>
          </w:p>
        </w:tc>
      </w:tr>
      <w:tr>
        <w:tc>
          <w:tcPr>
            <w:tcW w:type="dxa" w:w="194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PRF cannot progress</w:t>
            </w:r>
          </w:p>
        </w:tc>
        <w:tc>
          <w:tcPr>
            <w:tcW w:type="dxa" w:w="2592"/>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Role/stage mismatch or incomplete control</w:t>
            </w:r>
          </w:p>
        </w:tc>
        <w:tc>
          <w:tcPr>
            <w:tcW w:type="dxa" w:w="2520"/>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Check assigned email, stage, comments and metadata</w:t>
            </w:r>
          </w:p>
        </w:tc>
        <w:tc>
          <w:tcPr>
            <w:tcW w:type="dxa" w:w="2664"/>
            <w:shd w:fill="FFFFFF"/>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Escalate to Finance support</w:t>
            </w:r>
          </w:p>
        </w:tc>
      </w:tr>
      <w:tr>
        <w:tc>
          <w:tcPr>
            <w:tcW w:type="dxa" w:w="194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color w:val="123F34"/>
                <w:sz w:val="16"/>
              </w:rPr>
              <w:t>Admin save rejected</w:t>
            </w:r>
          </w:p>
        </w:tc>
        <w:tc>
          <w:tcPr>
            <w:tcW w:type="dxa" w:w="2592"/>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Not authorised, missing evidence or validation failure</w:t>
            </w:r>
          </w:p>
        </w:tc>
        <w:tc>
          <w:tcPr>
            <w:tcW w:type="dxa" w:w="2520"/>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Confirm identity/ID/evidence; capture error</w:t>
            </w:r>
          </w:p>
        </w:tc>
        <w:tc>
          <w:tcPr>
            <w:tcW w:type="dxa" w:w="2664"/>
            <w:shd w:fill="F7F9F6"/>
            <w:vAlign w:val="center"/>
            <w:tcMar>
              <w:top w:w="80" w:type="dxa"/>
              <w:start w:w="120" w:type="dxa"/>
              <w:bottom w:w="80" w:type="dxa"/>
              <w:end w:w="120" w:type="dxa"/>
            </w:tcMar>
            <w:tcBorders>
              <w:top w:val="single" w:sz="6" w:color="D8E2DB"/>
              <w:left w:val="single" w:sz="6" w:color="D8E2DB"/>
              <w:bottom w:val="single" w:sz="6" w:color="D8E2DB"/>
              <w:right w:val="single" w:sz="6" w:color="D8E2DB"/>
              <w:insideH w:val="single" w:sz="6" w:color="D8E2DB"/>
              <w:insideV w:val="single" w:sz="6" w:color="D8E2DB"/>
            </w:tcBorders>
          </w:tcPr>
          <w:p>
            <w:r/>
            <w:r>
              <w:rPr>
                <w:rFonts w:ascii="Calibri" w:hAnsi="Calibri"/>
                <w:b w:val="0"/>
                <w:color w:val="18241F"/>
                <w:sz w:val="16"/>
              </w:rPr>
              <w:t>Never use an alternate ungoverned route</w:t>
            </w:r>
          </w:p>
        </w:tc>
      </w:tr>
    </w:tbl>
    <w:p>
      <w:pPr>
        <w:spacing w:after="0"/>
      </w:pP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Support request  </w:t>
            </w:r>
            <w:r>
              <w:rPr>
                <w:color w:val="18241F"/>
                <w:sz w:val="18"/>
              </w:rPr>
              <w:t>Provide the module URL, time, browser, non-sensitive screenshot, action attempted, filter scope and exact error. Never send a PIN, API key, bank detail or confidential attachment.</w:t>
            </w:r>
          </w:p>
        </w:tc>
      </w:tr>
    </w:tbl>
    <w:p>
      <w:pPr>
        <w:spacing w:after="0"/>
      </w:pPr>
    </w:p>
    <w:p>
      <w:r>
        <w:br w:type="page"/>
      </w:r>
    </w:p>
    <w:p>
      <w:pPr>
        <w:pStyle w:val="Eyebrow"/>
      </w:pPr>
      <w:r>
        <w:t>GLOSSARY &amp; SUPPORT</w:t>
      </w:r>
    </w:p>
    <w:p>
      <w:pPr>
        <w:pStyle w:val="Heading1"/>
      </w:pPr>
      <w:r>
        <w:t>Key terms</w:t>
      </w:r>
    </w:p>
    <w:tbl>
      <w:tblPr>
        <w:tblW w:type="auto" w:w="0"/>
        <w:jc w:val="center"/>
        <w:tblLayout w:type="fixed"/>
        <w:tblLook w:firstColumn="1" w:firstRow="1" w:lastColumn="0" w:lastRow="0" w:noHBand="0" w:noVBand="1" w:val="04A0"/>
      </w:tblPr>
      <w:tblGrid>
        <w:gridCol w:w="4795"/>
        <w:gridCol w:w="4795"/>
      </w:tblGrid>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Access Atlas</w:t>
            </w:r>
          </w:p>
          <w:p>
            <w:pPr>
              <w:pStyle w:val="Small"/>
            </w:pPr>
            <w:r>
              <w:t>Interactive Western Province planning map and layer interface.</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Authoritative source</w:t>
            </w:r>
          </w:p>
          <w:p>
            <w:pPr>
              <w:pStyle w:val="Small"/>
            </w:pPr>
            <w:r>
              <w:t>Approved record used to support a value, location, status or decision.</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Cloudflare Access</w:t>
            </w:r>
          </w:p>
          <w:p>
            <w:pPr>
              <w:pStyle w:val="Small"/>
            </w:pPr>
            <w:r>
              <w:t>Email/OTP identity gateway protecting the application and restricted paths.</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D1</w:t>
            </w:r>
          </w:p>
          <w:p>
            <w:pPr>
              <w:pStyle w:val="Small"/>
            </w:pPr>
            <w:r>
              <w:t>Controlled web database used for working records, metadata and audit history.</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Evidence completeness</w:t>
            </w:r>
          </w:p>
          <w:p>
            <w:pPr>
              <w:pStyle w:val="Small"/>
            </w:pPr>
            <w:r>
              <w:t>Share of records with required supporting evidence; not programme performance.</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GIS</w:t>
            </w:r>
          </w:p>
          <w:p>
            <w:pPr>
              <w:pStyle w:val="Small"/>
            </w:pPr>
            <w:r>
              <w:t>Geographic information system linking records to governed locations and spatial layers.</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LLG</w:t>
            </w:r>
          </w:p>
          <w:p>
            <w:pPr>
              <w:pStyle w:val="Small"/>
            </w:pPr>
            <w:r>
              <w:t>Local-level government administrative area.</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Mapped population</w:t>
            </w:r>
          </w:p>
          <w:p>
            <w:pPr>
              <w:pStyle w:val="Small"/>
            </w:pPr>
            <w:r>
              <w:t>Population records linked to a reliable community geometry.</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PRF</w:t>
            </w:r>
          </w:p>
          <w:p>
            <w:pPr>
              <w:pStyle w:val="Small"/>
            </w:pPr>
            <w:r>
              <w:t>Payment Request Form and its controlled workflow metadata.</w:t>
            </w:r>
          </w:p>
        </w:tc>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Sibala Dalagi</w:t>
            </w:r>
          </w:p>
          <w:p>
            <w:pPr>
              <w:pStyle w:val="Small"/>
            </w:pPr>
            <w:r>
              <w:t>Conversational assistant interpreting governed WPGIS evidence.</w:t>
            </w:r>
          </w:p>
        </w:tc>
      </w:tr>
      <w:tr>
        <w:tc>
          <w:tcPr>
            <w:tcW w:type="dxa" w:w="4997"/>
            <w:shd w:fill="FFFFFF"/>
            <w:tcBorders>
              <w:top w:val="single" w:sz="6" w:color="D8E2DB"/>
              <w:left w:val="single" w:sz="6" w:color="D8E2DB"/>
              <w:bottom w:val="single" w:sz="6" w:color="D8E2DB"/>
              <w:right w:val="single" w:sz="6" w:color="D8E2DB"/>
              <w:insideH w:val="single" w:sz="6" w:color="D8E2DB"/>
              <w:insideV w:val="single" w:sz="6" w:color="D8E2DB"/>
            </w:tcBorders>
          </w:tcPr>
          <w:p>
            <w:r/>
            <w:r>
              <w:rPr>
                <w:b/>
                <w:color w:val="123F34"/>
                <w:sz w:val="20"/>
              </w:rPr>
              <w:t>WIP</w:t>
            </w:r>
          </w:p>
          <w:p>
            <w:pPr>
              <w:pStyle w:val="Small"/>
            </w:pPr>
            <w:r>
              <w:t>Work in progress; not yet functional or complete unless evidence states otherwise.</w:t>
            </w:r>
          </w:p>
        </w:tc>
        <w:tc>
          <w:tcPr>
            <w:tcW w:type="dxa" w:w="4997"/>
            <w:shd w:fill="F4F1E8"/>
            <w:tcBorders>
              <w:top w:val="single" w:sz="0" w:color="F4F1E8"/>
              <w:left w:val="single" w:sz="0" w:color="F4F1E8"/>
              <w:bottom w:val="single" w:sz="0" w:color="F4F1E8"/>
              <w:right w:val="single" w:sz="0" w:color="F4F1E8"/>
              <w:insideH w:val="single" w:sz="0" w:color="F4F1E8"/>
              <w:insideV w:val="single" w:sz="0" w:color="F4F1E8"/>
            </w:tcBorders>
          </w:tcPr>
          <w:p/>
        </w:tc>
      </w:tr>
    </w:tbl>
    <w:p>
      <w:pPr>
        <w:pStyle w:val="Heading2"/>
      </w:pPr>
      <w:r>
        <w:t>Support</w:t>
      </w:r>
    </w:p>
    <w:tbl>
      <w:tblPr>
        <w:tblW w:type="auto" w:w="0"/>
        <w:jc w:val="center"/>
        <w:tblLayout w:type="fixed"/>
        <w:tblLook w:firstColumn="1" w:firstRow="1" w:lastColumn="0" w:lastRow="0" w:noHBand="0" w:noVBand="1" w:val="04A0"/>
      </w:tblPr>
      <w:tblGrid>
        <w:gridCol w:w="187"/>
        <w:gridCol w:w="9576"/>
      </w:tblGrid>
      <w:tr>
        <w:tc>
          <w:tcPr>
            <w:tcW w:type="dxa" w:w="4997"/>
            <w:shd w:fill="E5A400"/>
            <w:vAlign w:val="center"/>
            <w:tcMar>
              <w:top w:w="80" w:type="dxa"/>
              <w:start w:w="120" w:type="dxa"/>
              <w:bottom w:w="80" w:type="dxa"/>
              <w:end w:w="120" w:type="dxa"/>
            </w:tcMar>
            <w:tcBorders>
              <w:top w:val="single" w:sz="0" w:color="FFF4D0"/>
              <w:left w:val="single" w:sz="0" w:color="FFF4D0"/>
              <w:bottom w:val="single" w:sz="0" w:color="FFF4D0"/>
              <w:right w:val="single" w:sz="0" w:color="FFF4D0"/>
              <w:insideH w:val="single" w:sz="0" w:color="FFF4D0"/>
              <w:insideV w:val="single" w:sz="0" w:color="FFF4D0"/>
            </w:tcBorders>
          </w:tcPr>
          <w:p>
            <w:r/>
            <w:r>
              <w:rPr>
                <w:rFonts w:ascii="Calibri" w:hAnsi="Calibri"/>
                <w:b w:val="0"/>
                <w:color w:val="18241F"/>
                <w:sz w:val="2"/>
              </w:rPr>
            </w:r>
          </w:p>
        </w:tc>
        <w:tc>
          <w:tcPr>
            <w:tcW w:type="dxa" w:w="4997"/>
            <w:shd w:fill="FFF4D0"/>
            <w:tcBorders>
              <w:top w:val="single" w:sz="0" w:color="FFF4D0"/>
              <w:left w:val="single" w:sz="0" w:color="FFF4D0"/>
              <w:bottom w:val="single" w:sz="0" w:color="FFF4D0"/>
              <w:right w:val="single" w:sz="0" w:color="FFF4D0"/>
              <w:insideH w:val="single" w:sz="0" w:color="FFF4D0"/>
              <w:insideV w:val="single" w:sz="0" w:color="FFF4D0"/>
            </w:tcBorders>
          </w:tcPr>
          <w:p>
            <w:r/>
            <w:r>
              <w:rPr>
                <w:b/>
                <w:color w:val="123F34"/>
                <w:sz w:val="19"/>
              </w:rPr>
              <w:t xml:space="preserve">Application owner / developer  </w:t>
            </w:r>
            <w:r>
              <w:rPr>
                <w:color w:val="18241F"/>
                <w:sz w:val="18"/>
              </w:rPr>
              <w:t>Christopher Odorry · Enabling Services · christopher.odorry@pngsdp.org</w:t>
            </w:r>
          </w:p>
        </w:tc>
      </w:tr>
    </w:tbl>
    <w:p>
      <w:pPr>
        <w:spacing w:after="0"/>
      </w:pPr>
    </w:p>
    <w:p>
      <w:pPr>
        <w:pStyle w:val="ListBullet"/>
      </w:pPr>
      <w:r>
        <w:t>Live application: https://wpgis.org</w:t>
      </w:r>
    </w:p>
    <w:p>
      <w:pPr>
        <w:pStyle w:val="ListBullet"/>
      </w:pPr>
      <w:r>
        <w:t>Training Centre: https://wpgis.org/training/</w:t>
      </w:r>
    </w:p>
    <w:p>
      <w:pPr>
        <w:pStyle w:val="ListBullet"/>
      </w:pPr>
      <w:r>
        <w:t>Use the organisation’s approved IT/security channel for access-control or suspected privacy incidents.</w:t>
      </w:r>
    </w:p>
    <w:p>
      <w:pPr>
        <w:pStyle w:val="Small"/>
        <w:jc w:val="center"/>
      </w:pPr>
      <w:r>
        <w:t>End of controlled training workpack</w:t>
      </w:r>
    </w:p>
    <w:sectPr w:rsidR="00FC693F" w:rsidRPr="0006063C" w:rsidSect="00034616">
      <w:headerReference w:type="default" r:id="rId9"/>
      <w:footerReference w:type="default" r:id="rId10"/>
      <w:pgSz w:w="12240" w:h="15840"/>
      <w:pgMar w:top="1123" w:right="1123" w:bottom="1037" w:left="1123"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6" w:space="4" w:color="D8E2DB"/>
      </w:pBdr>
    </w:pPr>
    <w:r>
      <w:rPr>
        <w:color w:val="65736C"/>
        <w:sz w:val="15"/>
      </w:rPr>
      <w:t xml:space="preserve">WPGIS · Enabling Services Intelligence · Controlled training copy · 23 August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ayout w:type="fixed"/>
      <w:tblLook w:firstColumn="1" w:firstRow="1" w:lastColumn="0" w:lastRow="0" w:noHBand="0" w:noVBand="1" w:val="04A0"/>
    </w:tblPr>
    <w:tblGrid>
      <w:gridCol w:w="6912"/>
      <w:gridCol w:w="3082"/>
    </w:tblGrid>
    <w:tr>
      <w:tc>
        <w:tcPr>
          <w:tcW w:type="dxa" w:w="4997"/>
          <w:vAlign w:val="center"/>
          <w:tcMar>
            <w:top w:w="80" w:type="dxa"/>
            <w:start w:w="120" w:type="dxa"/>
            <w:bottom w:w="80" w:type="dxa"/>
            <w:end w:w="120" w:type="dxa"/>
          </w:tcMar>
          <w:tcBorders>
            <w:top w:val="single" w:sz="0" w:color="FFFFFF"/>
            <w:left w:val="single" w:sz="0" w:color="FFFFFF"/>
            <w:bottom w:val="single" w:sz="0" w:color="FFFFFF"/>
            <w:right w:val="single" w:sz="0" w:color="FFFFFF"/>
            <w:insideH w:val="single" w:sz="0" w:color="FFFFFF"/>
            <w:insideV w:val="single" w:sz="0" w:color="FFFFFF"/>
          </w:tcBorders>
        </w:tcPr>
        <w:p>
          <w:r/>
          <w:r>
            <w:rPr>
              <w:rFonts w:ascii="Calibri" w:hAnsi="Calibri"/>
              <w:b/>
              <w:color w:val="123F34"/>
              <w:sz w:val="15"/>
            </w:rPr>
            <w:t>WPGIS TRAINING WORKPACK V1.0</w:t>
          </w:r>
        </w:p>
      </w:tc>
      <w:tc>
        <w:tcPr>
          <w:tcW w:type="dxa" w:w="4997"/>
          <w:vAlign w:val="center"/>
          <w:tcMar>
            <w:top w:w="80" w:type="dxa"/>
            <w:start w:w="120" w:type="dxa"/>
            <w:bottom w:w="80" w:type="dxa"/>
            <w:end w:w="120" w:type="dxa"/>
          </w:tcMar>
          <w:tcBorders>
            <w:top w:val="single" w:sz="0" w:color="FFFFFF"/>
            <w:left w:val="single" w:sz="0" w:color="FFFFFF"/>
            <w:bottom w:val="single" w:sz="0" w:color="FFFFFF"/>
            <w:right w:val="single" w:sz="0" w:color="FFFFFF"/>
            <w:insideH w:val="single" w:sz="0" w:color="FFFFFF"/>
            <w:insideV w:val="single" w:sz="0" w:color="FFFFFF"/>
          </w:tcBorders>
        </w:tcPr>
        <w:p>
          <w:pPr>
            <w:jc w:val="right"/>
          </w:pPr>
          <w:r/>
          <w:r>
            <w:rPr>
              <w:rFonts w:ascii="Calibri" w:hAnsi="Calibri"/>
              <w:b/>
              <w:color w:val="65736C"/>
              <w:sz w:val="14"/>
            </w:rPr>
            <w:t>PNG SUSTAINABLE DEVELOPMENT PROGRAM</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8" w:lineRule="auto"/>
    </w:pPr>
    <w:rPr>
      <w:rFonts w:ascii="Calibri" w:hAnsi="Calibri"/>
      <w:color w:val="18241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Calibri" w:hAnsi="Calibri"/>
      <w:b/>
      <w:bCs/>
      <w:color w:val="123F34"/>
      <w:sz w:val="4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1D6A4F"/>
      <w:sz w:val="28"/>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Calibri" w:hAnsi="Calibri"/>
      <w:b/>
      <w:bCs/>
      <w:color w:val="1824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23F34"/>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80"/>
    </w:pPr>
    <w:rPr>
      <w:rFonts w:ascii="Calibri" w:hAnsi="Calibri"/>
      <w:b/>
      <w:color w:val="EF7D23"/>
      <w:sz w:val="16"/>
    </w:rPr>
  </w:style>
  <w:style w:type="paragraph" w:customStyle="1" w:styleId="Small">
    <w:name w:val="Small"/>
    <w:pPr>
      <w:spacing w:after="60"/>
    </w:pPr>
    <w:rPr>
      <w:rFonts w:ascii="Calibri" w:hAnsi="Calibri"/>
      <w:color w:val="65736C"/>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